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bCs/>
          <w:sz w:val="52"/>
          <w:szCs w:val="52"/>
          <w:highlight w:val="none"/>
        </w:rPr>
      </w:pPr>
      <w:bookmarkStart w:id="18" w:name="_GoBack"/>
    </w:p>
    <w:p>
      <w:pPr>
        <w:jc w:val="center"/>
        <w:rPr>
          <w:rFonts w:hint="eastAsia" w:ascii="楷体" w:hAnsi="楷体" w:eastAsia="楷体" w:cs="楷体"/>
          <w:b/>
          <w:bCs/>
          <w:sz w:val="52"/>
          <w:szCs w:val="52"/>
          <w:highlight w:val="none"/>
        </w:rPr>
      </w:pPr>
    </w:p>
    <w:p>
      <w:pPr>
        <w:jc w:val="center"/>
        <w:rPr>
          <w:rFonts w:hint="eastAsia" w:ascii="楷体" w:hAnsi="楷体" w:eastAsia="楷体" w:cs="楷体"/>
          <w:b/>
          <w:bCs/>
          <w:sz w:val="52"/>
          <w:szCs w:val="52"/>
          <w:highlight w:val="none"/>
        </w:rPr>
      </w:pPr>
      <w:r>
        <w:rPr>
          <w:rFonts w:hint="eastAsia" w:ascii="楷体" w:hAnsi="楷体" w:eastAsia="楷体" w:cs="楷体"/>
          <w:b/>
          <w:bCs/>
          <w:sz w:val="52"/>
          <w:szCs w:val="52"/>
          <w:highlight w:val="none"/>
        </w:rPr>
        <w:t>湄洲湾职业技术学院</w:t>
      </w:r>
    </w:p>
    <w:p>
      <w:pPr>
        <w:jc w:val="center"/>
        <w:rPr>
          <w:rFonts w:hint="eastAsia" w:ascii="楷体" w:hAnsi="楷体" w:eastAsia="楷体" w:cs="楷体"/>
          <w:b/>
          <w:bCs/>
          <w:sz w:val="52"/>
          <w:szCs w:val="52"/>
          <w:highlight w:val="none"/>
          <w:lang w:val="en-US" w:eastAsia="zh-CN"/>
        </w:rPr>
      </w:pPr>
      <w:r>
        <w:rPr>
          <w:rFonts w:hint="eastAsia" w:ascii="楷体" w:hAnsi="楷体" w:eastAsia="楷体" w:cs="楷体"/>
          <w:b/>
          <w:bCs/>
          <w:sz w:val="52"/>
          <w:szCs w:val="52"/>
          <w:highlight w:val="none"/>
          <w:lang w:val="en-US" w:eastAsia="zh-CN"/>
        </w:rPr>
        <w:t>采购实施计划</w:t>
      </w:r>
    </w:p>
    <w:p>
      <w:pPr>
        <w:rPr>
          <w:highlight w:val="none"/>
        </w:rPr>
      </w:pPr>
    </w:p>
    <w:p>
      <w:pPr>
        <w:ind w:firstLine="1044" w:firstLineChars="400"/>
        <w:rPr>
          <w:rFonts w:ascii="仿宋" w:hAnsi="仿宋" w:eastAsia="仿宋" w:cs="仿宋"/>
          <w:b/>
          <w:bCs/>
          <w:color w:val="000000"/>
          <w:kern w:val="0"/>
          <w:sz w:val="26"/>
          <w:szCs w:val="26"/>
          <w:highlight w:val="none"/>
          <w:shd w:val="clear" w:color="auto" w:fill="FFFFFF"/>
        </w:rPr>
      </w:pPr>
    </w:p>
    <w:p>
      <w:pPr>
        <w:ind w:firstLine="1044" w:firstLineChars="400"/>
        <w:rPr>
          <w:rFonts w:ascii="仿宋" w:hAnsi="仿宋" w:eastAsia="仿宋" w:cs="仿宋"/>
          <w:b/>
          <w:bCs/>
          <w:color w:val="000000"/>
          <w:kern w:val="0"/>
          <w:sz w:val="26"/>
          <w:szCs w:val="26"/>
          <w:highlight w:val="none"/>
          <w:shd w:val="clear" w:color="auto" w:fill="FFFFFF"/>
        </w:rPr>
      </w:pPr>
    </w:p>
    <w:tbl>
      <w:tblPr>
        <w:tblStyle w:val="14"/>
        <w:tblW w:w="7579" w:type="dxa"/>
        <w:jc w:val="center"/>
        <w:tblInd w:w="0" w:type="dxa"/>
        <w:tblLayout w:type="fixed"/>
        <w:tblCellMar>
          <w:top w:w="0" w:type="dxa"/>
          <w:left w:w="108" w:type="dxa"/>
          <w:bottom w:w="0" w:type="dxa"/>
          <w:right w:w="108" w:type="dxa"/>
        </w:tblCellMar>
      </w:tblPr>
      <w:tblGrid>
        <w:gridCol w:w="2903"/>
        <w:gridCol w:w="4676"/>
      </w:tblGrid>
      <w:tr>
        <w:tblPrEx>
          <w:tblLayout w:type="fixed"/>
          <w:tblCellMar>
            <w:top w:w="0" w:type="dxa"/>
            <w:left w:w="108" w:type="dxa"/>
            <w:bottom w:w="0" w:type="dxa"/>
            <w:right w:w="108" w:type="dxa"/>
          </w:tblCellMar>
        </w:tblPrEx>
        <w:trPr>
          <w:trHeight w:val="680" w:hRule="atLeast"/>
          <w:jc w:val="center"/>
        </w:trPr>
        <w:tc>
          <w:tcPr>
            <w:tcW w:w="2903" w:type="dxa"/>
            <w:noWrap w:val="0"/>
            <w:vAlign w:val="bottom"/>
          </w:tcPr>
          <w:p>
            <w:pPr>
              <w:ind w:firstLine="480"/>
              <w:jc w:val="distribute"/>
              <w:rPr>
                <w:rFonts w:hint="default"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项目编号：</w:t>
            </w:r>
          </w:p>
        </w:tc>
        <w:tc>
          <w:tcPr>
            <w:tcW w:w="4676" w:type="dxa"/>
            <w:tcBorders>
              <w:bottom w:val="single" w:color="auto" w:sz="4" w:space="0"/>
            </w:tcBorders>
            <w:noWrap w:val="0"/>
            <w:vAlign w:val="bottom"/>
          </w:tcPr>
          <w:p>
            <w:pPr>
              <w:ind w:firstLine="480"/>
              <w:jc w:val="center"/>
              <w:rPr>
                <w:rFonts w:hint="eastAsia" w:ascii="仿宋" w:hAnsi="仿宋" w:eastAsia="仿宋" w:cs="仿宋"/>
                <w:b/>
                <w:sz w:val="24"/>
                <w:highlight w:val="none"/>
              </w:rPr>
            </w:pPr>
          </w:p>
        </w:tc>
      </w:tr>
      <w:tr>
        <w:tblPrEx>
          <w:tblLayout w:type="fixed"/>
          <w:tblCellMar>
            <w:top w:w="0" w:type="dxa"/>
            <w:left w:w="108" w:type="dxa"/>
            <w:bottom w:w="0" w:type="dxa"/>
            <w:right w:w="108" w:type="dxa"/>
          </w:tblCellMar>
        </w:tblPrEx>
        <w:trPr>
          <w:trHeight w:val="680" w:hRule="atLeast"/>
          <w:jc w:val="center"/>
        </w:trPr>
        <w:tc>
          <w:tcPr>
            <w:tcW w:w="2903" w:type="dxa"/>
            <w:noWrap w:val="0"/>
            <w:vAlign w:val="bottom"/>
          </w:tcPr>
          <w:p>
            <w:pPr>
              <w:ind w:firstLine="480"/>
              <w:jc w:val="distribute"/>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rPr>
              <w:t>项目名称：</w:t>
            </w:r>
          </w:p>
        </w:tc>
        <w:tc>
          <w:tcPr>
            <w:tcW w:w="4676" w:type="dxa"/>
            <w:tcBorders>
              <w:bottom w:val="single" w:color="auto" w:sz="4" w:space="0"/>
            </w:tcBorders>
            <w:noWrap w:val="0"/>
            <w:vAlign w:val="bottom"/>
          </w:tcPr>
          <w:p>
            <w:pPr>
              <w:ind w:firstLine="480"/>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公共安全虚拟仿真项目</w:t>
            </w:r>
          </w:p>
        </w:tc>
      </w:tr>
      <w:tr>
        <w:tblPrEx>
          <w:tblLayout w:type="fixed"/>
          <w:tblCellMar>
            <w:top w:w="0" w:type="dxa"/>
            <w:left w:w="108" w:type="dxa"/>
            <w:bottom w:w="0" w:type="dxa"/>
            <w:right w:w="108" w:type="dxa"/>
          </w:tblCellMar>
        </w:tblPrEx>
        <w:trPr>
          <w:trHeight w:val="680" w:hRule="atLeast"/>
          <w:jc w:val="center"/>
        </w:trPr>
        <w:tc>
          <w:tcPr>
            <w:tcW w:w="2903" w:type="dxa"/>
            <w:noWrap w:val="0"/>
            <w:vAlign w:val="bottom"/>
          </w:tcPr>
          <w:p>
            <w:pPr>
              <w:ind w:firstLine="480"/>
              <w:jc w:val="distribute"/>
              <w:rPr>
                <w:rFonts w:hint="eastAsia" w:ascii="仿宋" w:hAnsi="仿宋" w:eastAsia="仿宋" w:cs="仿宋"/>
                <w:b/>
                <w:sz w:val="28"/>
                <w:szCs w:val="28"/>
                <w:highlight w:val="none"/>
              </w:rPr>
            </w:pPr>
            <w:r>
              <w:rPr>
                <w:rFonts w:hint="eastAsia" w:ascii="仿宋" w:hAnsi="仿宋" w:eastAsia="仿宋" w:cs="仿宋"/>
                <w:b/>
                <w:bCs/>
                <w:sz w:val="28"/>
                <w:szCs w:val="28"/>
                <w:highlight w:val="none"/>
              </w:rPr>
              <w:t>实训室名称：</w:t>
            </w:r>
          </w:p>
        </w:tc>
        <w:tc>
          <w:tcPr>
            <w:tcW w:w="4676" w:type="dxa"/>
            <w:tcBorders>
              <w:bottom w:val="single" w:color="auto" w:sz="4" w:space="0"/>
            </w:tcBorders>
            <w:noWrap w:val="0"/>
            <w:vAlign w:val="bottom"/>
          </w:tcPr>
          <w:p>
            <w:pPr>
              <w:ind w:firstLine="480"/>
              <w:jc w:val="center"/>
              <w:rPr>
                <w:rFonts w:hint="eastAsia" w:ascii="仿宋" w:hAnsi="仿宋" w:eastAsia="仿宋" w:cs="仿宋"/>
                <w:b/>
                <w:sz w:val="24"/>
                <w:highlight w:val="none"/>
              </w:rPr>
            </w:pPr>
          </w:p>
        </w:tc>
      </w:tr>
      <w:tr>
        <w:tblPrEx>
          <w:tblLayout w:type="fixed"/>
          <w:tblCellMar>
            <w:top w:w="0" w:type="dxa"/>
            <w:left w:w="108" w:type="dxa"/>
            <w:bottom w:w="0" w:type="dxa"/>
            <w:right w:w="108" w:type="dxa"/>
          </w:tblCellMar>
        </w:tblPrEx>
        <w:trPr>
          <w:trHeight w:val="680" w:hRule="atLeast"/>
          <w:jc w:val="center"/>
        </w:trPr>
        <w:tc>
          <w:tcPr>
            <w:tcW w:w="2903" w:type="dxa"/>
            <w:noWrap w:val="0"/>
            <w:vAlign w:val="bottom"/>
          </w:tcPr>
          <w:p>
            <w:pPr>
              <w:ind w:firstLine="480"/>
              <w:jc w:val="distribute"/>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申报单位</w:t>
            </w:r>
            <w:r>
              <w:rPr>
                <w:rFonts w:hint="eastAsia" w:ascii="仿宋" w:hAnsi="仿宋" w:eastAsia="仿宋" w:cs="仿宋"/>
                <w:b/>
                <w:bCs/>
                <w:sz w:val="28"/>
                <w:szCs w:val="28"/>
                <w:highlight w:val="none"/>
              </w:rPr>
              <w:t>：</w:t>
            </w:r>
          </w:p>
        </w:tc>
        <w:tc>
          <w:tcPr>
            <w:tcW w:w="4676" w:type="dxa"/>
            <w:tcBorders>
              <w:bottom w:val="single" w:color="auto" w:sz="4" w:space="0"/>
            </w:tcBorders>
            <w:noWrap w:val="0"/>
            <w:vAlign w:val="bottom"/>
          </w:tcPr>
          <w:p>
            <w:pPr>
              <w:ind w:firstLine="480"/>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公共实训管理中心</w:t>
            </w:r>
          </w:p>
        </w:tc>
      </w:tr>
      <w:tr>
        <w:tblPrEx>
          <w:tblLayout w:type="fixed"/>
          <w:tblCellMar>
            <w:top w:w="0" w:type="dxa"/>
            <w:left w:w="108" w:type="dxa"/>
            <w:bottom w:w="0" w:type="dxa"/>
            <w:right w:w="108" w:type="dxa"/>
          </w:tblCellMar>
        </w:tblPrEx>
        <w:trPr>
          <w:trHeight w:val="680" w:hRule="atLeast"/>
          <w:jc w:val="center"/>
        </w:trPr>
        <w:tc>
          <w:tcPr>
            <w:tcW w:w="2903" w:type="dxa"/>
            <w:noWrap w:val="0"/>
            <w:vAlign w:val="bottom"/>
          </w:tcPr>
          <w:p>
            <w:pPr>
              <w:ind w:firstLine="480"/>
              <w:jc w:val="distribute"/>
              <w:rPr>
                <w:rFonts w:hint="eastAsia" w:ascii="仿宋" w:hAnsi="仿宋" w:eastAsia="仿宋" w:cs="仿宋"/>
                <w:b/>
                <w:sz w:val="28"/>
                <w:szCs w:val="28"/>
                <w:highlight w:val="none"/>
              </w:rPr>
            </w:pPr>
            <w:r>
              <w:rPr>
                <w:rFonts w:hint="eastAsia" w:ascii="仿宋" w:hAnsi="仿宋" w:eastAsia="仿宋" w:cs="仿宋"/>
                <w:b/>
                <w:bCs/>
                <w:sz w:val="28"/>
                <w:szCs w:val="28"/>
                <w:highlight w:val="none"/>
                <w:lang w:val="en-US" w:eastAsia="zh-CN"/>
              </w:rPr>
              <w:t>预算金额（万元）</w:t>
            </w:r>
            <w:r>
              <w:rPr>
                <w:rFonts w:hint="eastAsia" w:ascii="仿宋" w:hAnsi="仿宋" w:eastAsia="仿宋" w:cs="仿宋"/>
                <w:b/>
                <w:bCs/>
                <w:sz w:val="28"/>
                <w:szCs w:val="28"/>
                <w:highlight w:val="none"/>
              </w:rPr>
              <w:t>：</w:t>
            </w:r>
          </w:p>
        </w:tc>
        <w:tc>
          <w:tcPr>
            <w:tcW w:w="4676" w:type="dxa"/>
            <w:tcBorders>
              <w:top w:val="single" w:color="auto" w:sz="4" w:space="0"/>
              <w:bottom w:val="single" w:color="auto" w:sz="4" w:space="0"/>
            </w:tcBorders>
            <w:noWrap w:val="0"/>
            <w:vAlign w:val="bottom"/>
          </w:tcPr>
          <w:p>
            <w:pPr>
              <w:ind w:firstLine="480"/>
              <w:jc w:val="center"/>
              <w:rPr>
                <w:rFonts w:hint="default" w:ascii="仿宋" w:hAnsi="仿宋" w:eastAsia="仿宋" w:cs="仿宋"/>
                <w:b/>
                <w:sz w:val="24"/>
                <w:highlight w:val="none"/>
                <w:lang w:val="en-US"/>
              </w:rPr>
            </w:pPr>
            <w:r>
              <w:rPr>
                <w:rFonts w:hint="eastAsia" w:ascii="仿宋" w:hAnsi="仿宋" w:eastAsia="仿宋" w:cs="仿宋"/>
                <w:b/>
                <w:sz w:val="24"/>
                <w:highlight w:val="none"/>
                <w:lang w:val="en-US" w:eastAsia="zh-CN"/>
              </w:rPr>
              <w:t>210</w:t>
            </w:r>
          </w:p>
        </w:tc>
      </w:tr>
      <w:tr>
        <w:tblPrEx>
          <w:tblLayout w:type="fixed"/>
          <w:tblCellMar>
            <w:top w:w="0" w:type="dxa"/>
            <w:left w:w="108" w:type="dxa"/>
            <w:bottom w:w="0" w:type="dxa"/>
            <w:right w:w="108" w:type="dxa"/>
          </w:tblCellMar>
        </w:tblPrEx>
        <w:trPr>
          <w:trHeight w:val="680" w:hRule="atLeast"/>
          <w:jc w:val="center"/>
        </w:trPr>
        <w:tc>
          <w:tcPr>
            <w:tcW w:w="2903" w:type="dxa"/>
            <w:noWrap w:val="0"/>
            <w:vAlign w:val="bottom"/>
          </w:tcPr>
          <w:p>
            <w:pPr>
              <w:ind w:firstLine="480" w:firstLineChars="0"/>
              <w:jc w:val="distribute"/>
              <w:rPr>
                <w:rFonts w:hint="eastAsia" w:ascii="仿宋" w:hAnsi="仿宋" w:eastAsia="仿宋" w:cs="仿宋"/>
                <w:b/>
                <w:sz w:val="28"/>
                <w:szCs w:val="28"/>
                <w:highlight w:val="none"/>
              </w:rPr>
            </w:pPr>
            <w:r>
              <w:rPr>
                <w:rFonts w:hint="eastAsia" w:ascii="仿宋" w:hAnsi="仿宋" w:eastAsia="仿宋" w:cs="仿宋"/>
                <w:b/>
                <w:bCs/>
                <w:sz w:val="28"/>
                <w:szCs w:val="28"/>
                <w:highlight w:val="none"/>
              </w:rPr>
              <w:t>项目负责人：</w:t>
            </w:r>
          </w:p>
        </w:tc>
        <w:tc>
          <w:tcPr>
            <w:tcW w:w="4676" w:type="dxa"/>
            <w:tcBorders>
              <w:top w:val="single" w:color="auto" w:sz="4" w:space="0"/>
              <w:bottom w:val="single" w:color="auto" w:sz="4" w:space="0"/>
            </w:tcBorders>
            <w:noWrap w:val="0"/>
            <w:vAlign w:val="bottom"/>
          </w:tcPr>
          <w:p>
            <w:pPr>
              <w:ind w:firstLine="480"/>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高凯伟</w:t>
            </w:r>
          </w:p>
        </w:tc>
      </w:tr>
      <w:tr>
        <w:tblPrEx>
          <w:tblLayout w:type="fixed"/>
          <w:tblCellMar>
            <w:top w:w="0" w:type="dxa"/>
            <w:left w:w="108" w:type="dxa"/>
            <w:bottom w:w="0" w:type="dxa"/>
            <w:right w:w="108" w:type="dxa"/>
          </w:tblCellMar>
        </w:tblPrEx>
        <w:trPr>
          <w:trHeight w:val="680" w:hRule="atLeast"/>
          <w:jc w:val="center"/>
        </w:trPr>
        <w:tc>
          <w:tcPr>
            <w:tcW w:w="2903" w:type="dxa"/>
            <w:noWrap w:val="0"/>
            <w:vAlign w:val="bottom"/>
          </w:tcPr>
          <w:p>
            <w:pPr>
              <w:ind w:firstLine="480" w:firstLineChars="0"/>
              <w:jc w:val="distribute"/>
              <w:rPr>
                <w:rFonts w:hint="eastAsia" w:ascii="仿宋" w:hAnsi="仿宋" w:eastAsia="仿宋" w:cs="仿宋"/>
                <w:b/>
                <w:sz w:val="28"/>
                <w:szCs w:val="28"/>
                <w:highlight w:val="none"/>
              </w:rPr>
            </w:pPr>
            <w:r>
              <w:rPr>
                <w:rFonts w:hint="eastAsia" w:ascii="仿宋" w:hAnsi="仿宋" w:eastAsia="仿宋" w:cs="仿宋"/>
                <w:b/>
                <w:bCs/>
                <w:sz w:val="28"/>
                <w:szCs w:val="28"/>
                <w:highlight w:val="none"/>
              </w:rPr>
              <w:t>联系电话：</w:t>
            </w:r>
          </w:p>
        </w:tc>
        <w:tc>
          <w:tcPr>
            <w:tcW w:w="4676" w:type="dxa"/>
            <w:tcBorders>
              <w:top w:val="single" w:color="auto" w:sz="4" w:space="0"/>
              <w:bottom w:val="single" w:color="auto" w:sz="4" w:space="0"/>
            </w:tcBorders>
            <w:noWrap w:val="0"/>
            <w:vAlign w:val="bottom"/>
          </w:tcPr>
          <w:p>
            <w:pPr>
              <w:ind w:firstLine="480"/>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15659199480</w:t>
            </w:r>
          </w:p>
        </w:tc>
      </w:tr>
      <w:tr>
        <w:tblPrEx>
          <w:tblLayout w:type="fixed"/>
          <w:tblCellMar>
            <w:top w:w="0" w:type="dxa"/>
            <w:left w:w="108" w:type="dxa"/>
            <w:bottom w:w="0" w:type="dxa"/>
            <w:right w:w="108" w:type="dxa"/>
          </w:tblCellMar>
        </w:tblPrEx>
        <w:trPr>
          <w:trHeight w:val="680" w:hRule="atLeast"/>
          <w:jc w:val="center"/>
        </w:trPr>
        <w:tc>
          <w:tcPr>
            <w:tcW w:w="2903" w:type="dxa"/>
            <w:noWrap w:val="0"/>
            <w:vAlign w:val="bottom"/>
          </w:tcPr>
          <w:p>
            <w:pPr>
              <w:ind w:firstLine="480"/>
              <w:jc w:val="distribute"/>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填报日期：</w:t>
            </w:r>
          </w:p>
        </w:tc>
        <w:tc>
          <w:tcPr>
            <w:tcW w:w="4676" w:type="dxa"/>
            <w:tcBorders>
              <w:top w:val="single" w:color="auto" w:sz="4" w:space="0"/>
              <w:bottom w:val="single" w:color="auto" w:sz="4" w:space="0"/>
            </w:tcBorders>
            <w:noWrap w:val="0"/>
            <w:vAlign w:val="bottom"/>
          </w:tcPr>
          <w:p>
            <w:pPr>
              <w:ind w:firstLine="480"/>
              <w:jc w:val="center"/>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2024年6月28日</w:t>
            </w:r>
          </w:p>
        </w:tc>
      </w:tr>
    </w:tbl>
    <w:p>
      <w:pPr>
        <w:pStyle w:val="3"/>
        <w:numPr>
          <w:ilvl w:val="0"/>
          <w:numId w:val="0"/>
        </w:numPr>
        <w:spacing w:before="0" w:after="0" w:line="360" w:lineRule="auto"/>
        <w:ind w:leftChars="0"/>
        <w:rPr>
          <w:rFonts w:hint="eastAsia" w:ascii="宋体" w:hAnsi="宋体" w:eastAsia="宋体" w:cs="Arial"/>
          <w:color w:val="000000"/>
          <w:sz w:val="32"/>
          <w:highlight w:val="none"/>
          <w:lang w:val="en-US" w:eastAsia="zh-CN"/>
        </w:rPr>
        <w:sectPr>
          <w:footerReference r:id="rId3" w:type="default"/>
          <w:pgSz w:w="11906" w:h="16838"/>
          <w:pgMar w:top="1440" w:right="1800" w:bottom="1440" w:left="1800" w:header="851" w:footer="992" w:gutter="0"/>
          <w:cols w:space="720" w:num="1"/>
          <w:docGrid w:type="lines" w:linePitch="312" w:charSpace="0"/>
        </w:sectPr>
      </w:pPr>
    </w:p>
    <w:p>
      <w:pPr>
        <w:jc w:val="center"/>
        <w:rPr>
          <w:rFonts w:ascii="宋体" w:hAnsi="宋体" w:cs="仿宋"/>
          <w:b/>
          <w:color w:val="000000"/>
          <w:kern w:val="0"/>
          <w:sz w:val="30"/>
          <w:szCs w:val="30"/>
          <w:highlight w:val="none"/>
          <w:shd w:val="clear" w:color="auto" w:fill="FFFFFF"/>
        </w:rPr>
      </w:pPr>
      <w:r>
        <w:rPr>
          <w:rFonts w:hint="eastAsia" w:ascii="宋体" w:hAnsi="宋体" w:cs="仿宋"/>
          <w:b/>
          <w:color w:val="000000"/>
          <w:kern w:val="0"/>
          <w:sz w:val="30"/>
          <w:szCs w:val="30"/>
          <w:highlight w:val="none"/>
          <w:shd w:val="clear" w:color="auto" w:fill="FFFFFF"/>
        </w:rPr>
        <w:t>编制说明</w:t>
      </w:r>
    </w:p>
    <w:p>
      <w:pPr>
        <w:widowControl/>
        <w:spacing w:line="560" w:lineRule="atLeast"/>
        <w:ind w:firstLine="640"/>
        <w:jc w:val="left"/>
        <w:rPr>
          <w:rFonts w:ascii="宋体" w:hAnsi="宋体" w:cs="仿宋"/>
          <w:color w:val="000000"/>
          <w:kern w:val="0"/>
          <w:sz w:val="28"/>
          <w:szCs w:val="28"/>
          <w:highlight w:val="none"/>
          <w:shd w:val="clear" w:color="auto" w:fill="FFFFFF"/>
        </w:rPr>
      </w:pPr>
    </w:p>
    <w:p>
      <w:pPr>
        <w:widowControl/>
        <w:numPr>
          <w:ilvl w:val="0"/>
          <w:numId w:val="1"/>
        </w:numPr>
        <w:spacing w:line="560" w:lineRule="atLeast"/>
        <w:ind w:firstLine="640"/>
        <w:jc w:val="left"/>
        <w:rPr>
          <w:rFonts w:hint="eastAsia" w:ascii="宋体" w:hAnsi="宋体" w:cs="仿宋"/>
          <w:color w:val="000000"/>
          <w:kern w:val="0"/>
          <w:sz w:val="28"/>
          <w:szCs w:val="28"/>
          <w:highlight w:val="none"/>
          <w:shd w:val="clear" w:color="auto" w:fill="FFFFFF"/>
        </w:rPr>
      </w:pPr>
      <w:r>
        <w:rPr>
          <w:rFonts w:hint="eastAsia" w:ascii="宋体" w:hAnsi="宋体" w:cs="仿宋"/>
          <w:color w:val="000000"/>
          <w:kern w:val="0"/>
          <w:sz w:val="28"/>
          <w:szCs w:val="28"/>
          <w:highlight w:val="none"/>
          <w:shd w:val="clear" w:color="auto" w:fill="FFFFFF"/>
          <w:lang w:val="en-US" w:eastAsia="zh-CN"/>
        </w:rPr>
        <w:t>申购单位负责根据</w:t>
      </w:r>
      <w:r>
        <w:rPr>
          <w:rFonts w:hint="eastAsia" w:ascii="宋体" w:hAnsi="宋体" w:cs="仿宋"/>
          <w:color w:val="000000"/>
          <w:kern w:val="0"/>
          <w:sz w:val="28"/>
          <w:szCs w:val="28"/>
          <w:highlight w:val="none"/>
          <w:shd w:val="clear" w:color="auto" w:fill="FFFFFF"/>
        </w:rPr>
        <w:t>采购需求书编制采购实施计划。</w:t>
      </w:r>
    </w:p>
    <w:p>
      <w:pPr>
        <w:widowControl/>
        <w:numPr>
          <w:ilvl w:val="0"/>
          <w:numId w:val="1"/>
        </w:numPr>
        <w:spacing w:line="560" w:lineRule="atLeast"/>
        <w:ind w:firstLine="640"/>
        <w:jc w:val="left"/>
        <w:rPr>
          <w:rFonts w:hint="eastAsia" w:ascii="宋体" w:hAnsi="宋体" w:cs="仿宋"/>
          <w:color w:val="000000"/>
          <w:kern w:val="0"/>
          <w:sz w:val="28"/>
          <w:szCs w:val="28"/>
          <w:highlight w:val="none"/>
          <w:shd w:val="clear" w:color="auto" w:fill="FFFFFF"/>
        </w:rPr>
      </w:pPr>
      <w:r>
        <w:rPr>
          <w:rFonts w:hint="eastAsia" w:ascii="宋体" w:hAnsi="宋体" w:cs="仿宋"/>
          <w:color w:val="000000"/>
          <w:kern w:val="0"/>
          <w:sz w:val="28"/>
          <w:szCs w:val="28"/>
          <w:highlight w:val="none"/>
          <w:shd w:val="clear" w:color="auto" w:fill="FFFFFF"/>
          <w:lang w:val="en-US" w:eastAsia="zh-CN"/>
        </w:rPr>
        <w:t>后勤管理处负责指导申购单位填写“合同订立安排”部分内容。</w:t>
      </w:r>
    </w:p>
    <w:p>
      <w:pPr>
        <w:widowControl/>
        <w:numPr>
          <w:ilvl w:val="0"/>
          <w:numId w:val="1"/>
        </w:numPr>
        <w:spacing w:line="560" w:lineRule="atLeast"/>
        <w:ind w:firstLine="640"/>
        <w:jc w:val="left"/>
        <w:rPr>
          <w:rFonts w:hint="eastAsia" w:ascii="宋体" w:hAnsi="宋体" w:cs="仿宋"/>
          <w:color w:val="000000"/>
          <w:kern w:val="0"/>
          <w:sz w:val="28"/>
          <w:szCs w:val="28"/>
          <w:highlight w:val="none"/>
          <w:shd w:val="clear" w:color="auto" w:fill="FFFFFF"/>
        </w:rPr>
      </w:pPr>
      <w:r>
        <w:rPr>
          <w:rFonts w:hint="eastAsia" w:ascii="宋体" w:hAnsi="宋体" w:cs="仿宋"/>
          <w:color w:val="000000"/>
          <w:kern w:val="0"/>
          <w:sz w:val="28"/>
          <w:szCs w:val="28"/>
          <w:highlight w:val="none"/>
          <w:shd w:val="clear" w:color="auto" w:fill="FFFFFF"/>
          <w:lang w:val="en-US" w:eastAsia="zh-CN"/>
        </w:rPr>
        <w:t>公共实训管理中心负责指导申购单位填写“</w:t>
      </w:r>
      <w:r>
        <w:rPr>
          <w:rFonts w:hint="eastAsia" w:ascii="黑体" w:hAnsi="黑体" w:eastAsia="黑体"/>
          <w:sz w:val="24"/>
          <w:szCs w:val="24"/>
          <w:highlight w:val="none"/>
        </w:rPr>
        <w:t>合同</w:t>
      </w:r>
      <w:r>
        <w:rPr>
          <w:rFonts w:hint="eastAsia" w:ascii="黑体" w:hAnsi="黑体" w:eastAsia="黑体"/>
          <w:sz w:val="24"/>
          <w:szCs w:val="24"/>
          <w:highlight w:val="none"/>
          <w:lang w:val="en-US" w:eastAsia="zh-CN"/>
        </w:rPr>
        <w:t>管理</w:t>
      </w:r>
      <w:r>
        <w:rPr>
          <w:rFonts w:hint="eastAsia" w:ascii="黑体" w:hAnsi="黑体" w:eastAsia="黑体"/>
          <w:sz w:val="24"/>
          <w:szCs w:val="24"/>
          <w:highlight w:val="none"/>
        </w:rPr>
        <w:t>安排</w:t>
      </w:r>
      <w:r>
        <w:rPr>
          <w:rFonts w:hint="eastAsia" w:ascii="宋体" w:hAnsi="宋体" w:cs="仿宋"/>
          <w:color w:val="000000"/>
          <w:kern w:val="0"/>
          <w:sz w:val="28"/>
          <w:szCs w:val="28"/>
          <w:highlight w:val="none"/>
          <w:shd w:val="clear" w:color="auto" w:fill="FFFFFF"/>
          <w:lang w:val="en-US" w:eastAsia="zh-CN"/>
        </w:rPr>
        <w:t>”部分内容。</w:t>
      </w:r>
    </w:p>
    <w:p>
      <w:pPr>
        <w:widowControl/>
        <w:spacing w:line="560" w:lineRule="atLeast"/>
        <w:ind w:firstLine="640"/>
        <w:jc w:val="left"/>
        <w:rPr>
          <w:rFonts w:ascii="宋体" w:hAnsi="宋体" w:cs="仿宋"/>
          <w:sz w:val="28"/>
          <w:szCs w:val="28"/>
          <w:highlight w:val="none"/>
        </w:rPr>
      </w:pPr>
      <w:r>
        <w:rPr>
          <w:rFonts w:hint="eastAsia" w:ascii="宋体" w:hAnsi="宋体" w:cs="仿宋"/>
          <w:color w:val="000000"/>
          <w:kern w:val="0"/>
          <w:sz w:val="28"/>
          <w:szCs w:val="28"/>
          <w:highlight w:val="none"/>
          <w:shd w:val="clear" w:color="auto" w:fill="FFFFFF"/>
          <w:lang w:val="en-US" w:eastAsia="zh-CN"/>
        </w:rPr>
        <w:t>四</w:t>
      </w:r>
      <w:r>
        <w:rPr>
          <w:rFonts w:hint="eastAsia" w:ascii="宋体" w:hAnsi="宋体" w:cs="仿宋"/>
          <w:color w:val="000000"/>
          <w:kern w:val="0"/>
          <w:sz w:val="28"/>
          <w:szCs w:val="28"/>
          <w:highlight w:val="none"/>
          <w:shd w:val="clear" w:color="auto" w:fill="FFFFFF"/>
        </w:rPr>
        <w:t>、编制的采购实施计划应当符合《财政部关于印发政府采购需求管理办法的通知》（财库〔2021〕22号）要求及政府采购的相关规定。</w:t>
      </w:r>
    </w:p>
    <w:p>
      <w:pPr>
        <w:widowControl/>
        <w:spacing w:line="560" w:lineRule="atLeast"/>
        <w:ind w:firstLine="640"/>
        <w:jc w:val="left"/>
        <w:rPr>
          <w:rFonts w:ascii="宋体" w:hAnsi="宋体" w:cs="仿宋"/>
          <w:sz w:val="28"/>
          <w:szCs w:val="28"/>
          <w:highlight w:val="none"/>
        </w:rPr>
      </w:pPr>
      <w:r>
        <w:rPr>
          <w:rFonts w:hint="eastAsia" w:ascii="宋体" w:hAnsi="宋体" w:cs="仿宋"/>
          <w:color w:val="000000"/>
          <w:kern w:val="0"/>
          <w:sz w:val="28"/>
          <w:szCs w:val="28"/>
          <w:highlight w:val="none"/>
          <w:shd w:val="clear" w:color="auto" w:fill="FFFFFF"/>
          <w:lang w:val="en-US" w:eastAsia="zh-CN"/>
        </w:rPr>
        <w:t>五</w:t>
      </w:r>
      <w:r>
        <w:rPr>
          <w:rFonts w:hint="eastAsia" w:ascii="宋体" w:hAnsi="宋体" w:cs="仿宋"/>
          <w:color w:val="000000"/>
          <w:kern w:val="0"/>
          <w:sz w:val="28"/>
          <w:szCs w:val="28"/>
          <w:highlight w:val="none"/>
          <w:shd w:val="clear" w:color="auto" w:fill="FFFFFF"/>
        </w:rPr>
        <w:t>、斜体字部分属于提醒内容，编制时应删除。</w:t>
      </w:r>
    </w:p>
    <w:p>
      <w:pPr>
        <w:widowControl/>
        <w:spacing w:line="560" w:lineRule="atLeast"/>
        <w:ind w:firstLine="640"/>
        <w:jc w:val="left"/>
        <w:rPr>
          <w:rFonts w:ascii="宋体" w:hAnsi="宋体" w:cs="仿宋"/>
          <w:sz w:val="28"/>
          <w:szCs w:val="28"/>
          <w:highlight w:val="none"/>
        </w:rPr>
      </w:pPr>
      <w:r>
        <w:rPr>
          <w:rFonts w:hint="eastAsia" w:ascii="宋体" w:hAnsi="宋体" w:cs="仿宋"/>
          <w:color w:val="000000"/>
          <w:kern w:val="0"/>
          <w:sz w:val="28"/>
          <w:szCs w:val="28"/>
          <w:highlight w:val="none"/>
          <w:shd w:val="clear" w:color="auto" w:fill="FFFFFF"/>
          <w:lang w:val="en-US" w:eastAsia="zh-CN"/>
        </w:rPr>
        <w:t>六</w:t>
      </w:r>
      <w:r>
        <w:rPr>
          <w:rFonts w:hint="eastAsia" w:ascii="宋体" w:hAnsi="宋体" w:cs="仿宋"/>
          <w:color w:val="000000"/>
          <w:kern w:val="0"/>
          <w:sz w:val="28"/>
          <w:szCs w:val="28"/>
          <w:highlight w:val="none"/>
          <w:shd w:val="clear" w:color="auto" w:fill="FFFFFF"/>
        </w:rPr>
        <w:t>、对不适用的内容应删除，并调整相应序号。</w:t>
      </w:r>
    </w:p>
    <w:p>
      <w:pPr>
        <w:rPr>
          <w:sz w:val="28"/>
          <w:szCs w:val="28"/>
          <w:highlight w:val="none"/>
        </w:rPr>
      </w:pPr>
    </w:p>
    <w:p>
      <w:pPr>
        <w:spacing w:line="360" w:lineRule="auto"/>
        <w:rPr>
          <w:highlight w:val="none"/>
        </w:rPr>
      </w:pPr>
    </w:p>
    <w:p>
      <w:pPr>
        <w:widowControl/>
        <w:shd w:val="clear" w:color="auto" w:fill="FFFFFF"/>
        <w:spacing w:line="360" w:lineRule="auto"/>
        <w:ind w:firstLine="562" w:firstLineChars="200"/>
        <w:jc w:val="left"/>
        <w:rPr>
          <w:rFonts w:ascii="宋体" w:hAnsi="宋体" w:cs="Arial"/>
          <w:b/>
          <w:color w:val="333333"/>
          <w:kern w:val="0"/>
          <w:sz w:val="28"/>
          <w:szCs w:val="28"/>
          <w:highlight w:val="none"/>
        </w:rPr>
      </w:pPr>
    </w:p>
    <w:p>
      <w:pPr>
        <w:widowControl/>
        <w:shd w:val="clear" w:color="auto" w:fill="FFFFFF"/>
        <w:spacing w:line="360" w:lineRule="auto"/>
        <w:ind w:firstLine="562" w:firstLineChars="200"/>
        <w:jc w:val="left"/>
        <w:rPr>
          <w:rFonts w:ascii="宋体" w:hAnsi="宋体" w:cs="Arial"/>
          <w:b/>
          <w:color w:val="333333"/>
          <w:kern w:val="0"/>
          <w:sz w:val="28"/>
          <w:szCs w:val="28"/>
          <w:highlight w:val="none"/>
        </w:rPr>
      </w:pPr>
    </w:p>
    <w:p>
      <w:pPr>
        <w:widowControl/>
        <w:shd w:val="clear" w:color="auto" w:fill="FFFFFF"/>
        <w:spacing w:line="360" w:lineRule="auto"/>
        <w:ind w:firstLine="562" w:firstLineChars="200"/>
        <w:jc w:val="left"/>
        <w:rPr>
          <w:rFonts w:ascii="宋体" w:hAnsi="宋体" w:cs="Arial"/>
          <w:b/>
          <w:color w:val="333333"/>
          <w:kern w:val="0"/>
          <w:sz w:val="28"/>
          <w:szCs w:val="28"/>
          <w:highlight w:val="none"/>
        </w:rPr>
      </w:pPr>
    </w:p>
    <w:p>
      <w:pPr>
        <w:widowControl/>
        <w:shd w:val="clear" w:color="auto" w:fill="FFFFFF"/>
        <w:spacing w:line="360" w:lineRule="auto"/>
        <w:ind w:firstLine="562" w:firstLineChars="200"/>
        <w:jc w:val="left"/>
        <w:rPr>
          <w:rFonts w:ascii="宋体" w:hAnsi="宋体" w:cs="Arial"/>
          <w:b/>
          <w:color w:val="333333"/>
          <w:kern w:val="0"/>
          <w:sz w:val="28"/>
          <w:szCs w:val="28"/>
          <w:highlight w:val="none"/>
        </w:rPr>
      </w:pPr>
    </w:p>
    <w:p>
      <w:pPr>
        <w:widowControl/>
        <w:shd w:val="clear" w:color="auto" w:fill="FFFFFF"/>
        <w:spacing w:line="360" w:lineRule="auto"/>
        <w:ind w:firstLine="562" w:firstLineChars="200"/>
        <w:jc w:val="left"/>
        <w:rPr>
          <w:rFonts w:ascii="宋体" w:hAnsi="宋体" w:cs="Arial"/>
          <w:b/>
          <w:color w:val="333333"/>
          <w:kern w:val="0"/>
          <w:sz w:val="28"/>
          <w:szCs w:val="28"/>
          <w:highlight w:val="none"/>
        </w:rPr>
      </w:pPr>
    </w:p>
    <w:p>
      <w:pPr>
        <w:widowControl/>
        <w:shd w:val="clear" w:color="auto" w:fill="FFFFFF"/>
        <w:spacing w:line="360" w:lineRule="auto"/>
        <w:ind w:firstLine="562" w:firstLineChars="200"/>
        <w:jc w:val="left"/>
        <w:rPr>
          <w:rFonts w:ascii="宋体" w:hAnsi="宋体" w:cs="Arial"/>
          <w:b/>
          <w:color w:val="333333"/>
          <w:kern w:val="0"/>
          <w:sz w:val="28"/>
          <w:szCs w:val="28"/>
          <w:highlight w:val="none"/>
        </w:rPr>
      </w:pPr>
    </w:p>
    <w:p>
      <w:pPr>
        <w:widowControl/>
        <w:shd w:val="clear" w:color="auto" w:fill="FFFFFF"/>
        <w:spacing w:line="360" w:lineRule="auto"/>
        <w:ind w:firstLine="562" w:firstLineChars="200"/>
        <w:jc w:val="left"/>
        <w:rPr>
          <w:rFonts w:ascii="宋体" w:hAnsi="宋体" w:cs="Arial"/>
          <w:b/>
          <w:color w:val="333333"/>
          <w:kern w:val="0"/>
          <w:sz w:val="28"/>
          <w:szCs w:val="28"/>
          <w:highlight w:val="none"/>
        </w:rPr>
      </w:pPr>
    </w:p>
    <w:p>
      <w:pPr>
        <w:widowControl/>
        <w:shd w:val="clear" w:color="auto" w:fill="FFFFFF"/>
        <w:spacing w:line="360" w:lineRule="auto"/>
        <w:ind w:firstLine="562" w:firstLineChars="200"/>
        <w:jc w:val="left"/>
        <w:rPr>
          <w:rFonts w:ascii="宋体" w:hAnsi="宋体" w:cs="Arial"/>
          <w:b/>
          <w:color w:val="333333"/>
          <w:kern w:val="0"/>
          <w:sz w:val="28"/>
          <w:szCs w:val="28"/>
          <w:highlight w:val="none"/>
        </w:rPr>
      </w:pPr>
    </w:p>
    <w:p>
      <w:pPr>
        <w:pStyle w:val="4"/>
        <w:spacing w:line="360" w:lineRule="auto"/>
        <w:ind w:firstLine="472" w:firstLineChars="196"/>
        <w:rPr>
          <w:rFonts w:ascii="黑体" w:hAnsi="黑体" w:eastAsia="黑体"/>
          <w:sz w:val="24"/>
          <w:szCs w:val="24"/>
          <w:highlight w:val="none"/>
        </w:rPr>
      </w:pPr>
      <w:r>
        <w:rPr>
          <w:rFonts w:hint="eastAsia" w:ascii="黑体" w:hAnsi="黑体" w:eastAsia="黑体"/>
          <w:sz w:val="24"/>
          <w:szCs w:val="24"/>
          <w:highlight w:val="none"/>
        </w:rPr>
        <w:t>一、合同订立安排</w:t>
      </w:r>
    </w:p>
    <w:p>
      <w:pPr>
        <w:pStyle w:val="17"/>
        <w:spacing w:line="360" w:lineRule="auto"/>
        <w:ind w:firstLine="482"/>
        <w:rPr>
          <w:rFonts w:ascii="宋体" w:hAnsi="宋体"/>
          <w:b/>
          <w:bCs/>
          <w:sz w:val="24"/>
          <w:szCs w:val="24"/>
          <w:highlight w:val="none"/>
        </w:rPr>
      </w:pPr>
      <w:bookmarkStart w:id="0" w:name="_Toc13411"/>
      <w:r>
        <w:rPr>
          <w:rFonts w:hint="eastAsia" w:ascii="宋体" w:hAnsi="宋体"/>
          <w:b/>
          <w:bCs/>
          <w:sz w:val="24"/>
          <w:szCs w:val="24"/>
          <w:highlight w:val="none"/>
        </w:rPr>
        <w:t>（一）项目采购预算</w:t>
      </w:r>
      <w:bookmarkEnd w:id="0"/>
    </w:p>
    <w:p>
      <w:pPr>
        <w:widowControl/>
        <w:spacing w:line="360" w:lineRule="auto"/>
        <w:ind w:firstLine="600"/>
        <w:jc w:val="left"/>
        <w:rPr>
          <w:rFonts w:hint="default" w:ascii="宋体" w:hAnsi="宋体" w:eastAsia="宋体" w:cs="仿宋"/>
          <w:sz w:val="24"/>
          <w:szCs w:val="24"/>
          <w:highlight w:val="none"/>
          <w:lang w:val="en-US" w:eastAsia="zh-CN"/>
        </w:rPr>
      </w:pPr>
      <w:r>
        <w:rPr>
          <w:rFonts w:hint="eastAsia" w:ascii="宋体" w:hAnsi="宋体" w:cs="仿宋"/>
          <w:sz w:val="24"/>
          <w:szCs w:val="24"/>
          <w:highlight w:val="none"/>
        </w:rPr>
        <w:t>1.项目采购预算：（币种）</w:t>
      </w:r>
      <w:r>
        <w:rPr>
          <w:rFonts w:hint="eastAsia" w:ascii="宋体" w:hAnsi="宋体" w:cs="仿宋"/>
          <w:sz w:val="24"/>
          <w:szCs w:val="24"/>
          <w:highlight w:val="none"/>
          <w:u w:val="single"/>
          <w:lang w:val="en-US" w:eastAsia="zh-CN"/>
        </w:rPr>
        <w:t>贰佰壹拾万元整</w:t>
      </w:r>
      <w:r>
        <w:rPr>
          <w:rFonts w:hint="eastAsia" w:ascii="宋体" w:hAnsi="宋体" w:cs="仿宋"/>
          <w:sz w:val="24"/>
          <w:szCs w:val="24"/>
          <w:highlight w:val="none"/>
        </w:rPr>
        <w:t>，</w:t>
      </w:r>
      <w:r>
        <w:rPr>
          <w:rFonts w:hint="eastAsia" w:ascii="宋体" w:hAnsi="宋体" w:cs="仿宋"/>
          <w:sz w:val="24"/>
          <w:szCs w:val="24"/>
          <w:highlight w:val="none"/>
          <w:u w:val="single"/>
          <w:lang w:val="en-US" w:eastAsia="zh-CN"/>
        </w:rPr>
        <w:t>210万元</w:t>
      </w:r>
    </w:p>
    <w:p>
      <w:pPr>
        <w:widowControl/>
        <w:spacing w:line="360" w:lineRule="auto"/>
        <w:ind w:firstLine="600"/>
        <w:jc w:val="left"/>
        <w:rPr>
          <w:rFonts w:ascii="宋体" w:hAnsi="宋体" w:cs="仿宋"/>
          <w:sz w:val="24"/>
          <w:szCs w:val="24"/>
          <w:highlight w:val="none"/>
          <w:u w:val="single"/>
        </w:rPr>
      </w:pPr>
      <w:r>
        <w:rPr>
          <w:rFonts w:hint="eastAsia" w:ascii="宋体" w:hAnsi="宋体" w:cs="仿宋"/>
          <w:sz w:val="24"/>
          <w:szCs w:val="24"/>
          <w:highlight w:val="none"/>
        </w:rPr>
        <w:t>2.项目最高限价：（币种）</w:t>
      </w:r>
      <w:r>
        <w:rPr>
          <w:rFonts w:hint="eastAsia" w:ascii="宋体" w:hAnsi="宋体" w:cs="仿宋"/>
          <w:sz w:val="24"/>
          <w:szCs w:val="24"/>
          <w:highlight w:val="none"/>
          <w:u w:val="single"/>
        </w:rPr>
        <w:t>大写</w:t>
      </w:r>
      <w:r>
        <w:rPr>
          <w:rFonts w:hint="eastAsia" w:ascii="宋体" w:hAnsi="宋体" w:cs="仿宋"/>
          <w:sz w:val="24"/>
          <w:szCs w:val="24"/>
          <w:highlight w:val="none"/>
        </w:rPr>
        <w:t>，</w:t>
      </w:r>
      <w:r>
        <w:rPr>
          <w:rFonts w:hint="eastAsia" w:ascii="宋体" w:hAnsi="宋体" w:cs="仿宋"/>
          <w:sz w:val="24"/>
          <w:szCs w:val="24"/>
          <w:highlight w:val="none"/>
          <w:u w:val="single"/>
        </w:rPr>
        <w:t>小写</w:t>
      </w:r>
    </w:p>
    <w:p>
      <w:pPr>
        <w:pStyle w:val="17"/>
        <w:spacing w:afterLines="50" w:line="360" w:lineRule="auto"/>
        <w:ind w:firstLine="482"/>
        <w:rPr>
          <w:sz w:val="24"/>
          <w:szCs w:val="24"/>
          <w:highlight w:val="none"/>
        </w:rPr>
      </w:pPr>
      <w:bookmarkStart w:id="1" w:name="_Toc23746"/>
      <w:r>
        <w:rPr>
          <w:rFonts w:hint="eastAsia" w:ascii="宋体" w:hAnsi="宋体"/>
          <w:b/>
          <w:bCs/>
          <w:sz w:val="24"/>
          <w:szCs w:val="24"/>
          <w:highlight w:val="none"/>
        </w:rPr>
        <w:t>（二）开展采购活动的时间安排</w:t>
      </w:r>
      <w:bookmarkEnd w:id="1"/>
    </w:p>
    <w:tbl>
      <w:tblPr>
        <w:tblStyle w:val="15"/>
        <w:tblW w:w="81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3827"/>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0" w:type="dxa"/>
            <w:noWrap/>
            <w:vAlign w:val="top"/>
          </w:tcPr>
          <w:p>
            <w:pPr>
              <w:tabs>
                <w:tab w:val="left" w:pos="864"/>
              </w:tabs>
              <w:spacing w:line="360" w:lineRule="auto"/>
              <w:jc w:val="center"/>
              <w:rPr>
                <w:rFonts w:ascii="宋体" w:hAnsi="宋体"/>
                <w:b/>
                <w:bCs/>
                <w:kern w:val="0"/>
                <w:sz w:val="24"/>
                <w:szCs w:val="24"/>
                <w:highlight w:val="none"/>
              </w:rPr>
            </w:pPr>
            <w:r>
              <w:rPr>
                <w:rFonts w:hint="eastAsia" w:ascii="宋体" w:hAnsi="宋体"/>
                <w:b/>
                <w:bCs/>
                <w:kern w:val="0"/>
                <w:sz w:val="24"/>
                <w:szCs w:val="24"/>
                <w:highlight w:val="none"/>
              </w:rPr>
              <w:t>序号</w:t>
            </w:r>
          </w:p>
        </w:tc>
        <w:tc>
          <w:tcPr>
            <w:tcW w:w="3827" w:type="dxa"/>
            <w:noWrap/>
            <w:vAlign w:val="top"/>
          </w:tcPr>
          <w:p>
            <w:pPr>
              <w:tabs>
                <w:tab w:val="left" w:pos="864"/>
              </w:tabs>
              <w:spacing w:line="360" w:lineRule="auto"/>
              <w:jc w:val="center"/>
              <w:rPr>
                <w:rFonts w:ascii="宋体" w:hAnsi="宋体"/>
                <w:b/>
                <w:bCs/>
                <w:kern w:val="0"/>
                <w:sz w:val="24"/>
                <w:szCs w:val="24"/>
                <w:highlight w:val="none"/>
              </w:rPr>
            </w:pPr>
            <w:r>
              <w:rPr>
                <w:rFonts w:hint="eastAsia" w:ascii="宋体" w:hAnsi="宋体"/>
                <w:b/>
                <w:bCs/>
                <w:kern w:val="0"/>
                <w:sz w:val="24"/>
                <w:szCs w:val="24"/>
                <w:highlight w:val="none"/>
              </w:rPr>
              <w:t>事项</w:t>
            </w:r>
          </w:p>
        </w:tc>
        <w:tc>
          <w:tcPr>
            <w:tcW w:w="3261" w:type="dxa"/>
            <w:noWrap/>
            <w:vAlign w:val="top"/>
          </w:tcPr>
          <w:p>
            <w:pPr>
              <w:tabs>
                <w:tab w:val="left" w:pos="864"/>
              </w:tabs>
              <w:spacing w:line="360" w:lineRule="auto"/>
              <w:jc w:val="center"/>
              <w:rPr>
                <w:rFonts w:ascii="宋体" w:hAnsi="宋体"/>
                <w:b/>
                <w:bCs/>
                <w:kern w:val="0"/>
                <w:sz w:val="24"/>
                <w:szCs w:val="24"/>
                <w:highlight w:val="none"/>
              </w:rPr>
            </w:pPr>
            <w:r>
              <w:rPr>
                <w:rFonts w:hint="eastAsia" w:ascii="宋体" w:hAnsi="宋体"/>
                <w:b/>
                <w:bCs/>
                <w:kern w:val="0"/>
                <w:sz w:val="24"/>
                <w:szCs w:val="24"/>
                <w:highlight w:val="none"/>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0" w:type="dxa"/>
            <w:noWrap/>
            <w:vAlign w:val="top"/>
          </w:tcPr>
          <w:p>
            <w:pPr>
              <w:pStyle w:val="18"/>
              <w:numPr>
                <w:ilvl w:val="0"/>
                <w:numId w:val="2"/>
              </w:numPr>
              <w:tabs>
                <w:tab w:val="left" w:pos="864"/>
              </w:tabs>
              <w:spacing w:line="360" w:lineRule="auto"/>
              <w:ind w:firstLineChars="0"/>
              <w:jc w:val="center"/>
              <w:rPr>
                <w:rFonts w:ascii="宋体" w:hAnsi="宋体"/>
                <w:kern w:val="0"/>
                <w:sz w:val="24"/>
                <w:szCs w:val="24"/>
                <w:highlight w:val="none"/>
              </w:rPr>
            </w:pPr>
          </w:p>
        </w:tc>
        <w:tc>
          <w:tcPr>
            <w:tcW w:w="3827" w:type="dxa"/>
            <w:noWrap/>
            <w:vAlign w:val="top"/>
          </w:tcPr>
          <w:p>
            <w:pPr>
              <w:tabs>
                <w:tab w:val="left" w:pos="864"/>
              </w:tabs>
              <w:spacing w:line="360" w:lineRule="auto"/>
              <w:jc w:val="center"/>
              <w:rPr>
                <w:rFonts w:ascii="宋体" w:hAnsi="宋体"/>
                <w:kern w:val="0"/>
                <w:sz w:val="24"/>
                <w:szCs w:val="24"/>
                <w:highlight w:val="none"/>
              </w:rPr>
            </w:pPr>
            <w:r>
              <w:rPr>
                <w:rFonts w:hint="eastAsia" w:ascii="宋体" w:hAnsi="宋体"/>
                <w:kern w:val="0"/>
                <w:sz w:val="24"/>
                <w:szCs w:val="24"/>
                <w:highlight w:val="none"/>
              </w:rPr>
              <w:t>政府采购意向公开</w:t>
            </w:r>
          </w:p>
        </w:tc>
        <w:tc>
          <w:tcPr>
            <w:tcW w:w="3261" w:type="dxa"/>
            <w:noWrap/>
            <w:vAlign w:val="top"/>
          </w:tcPr>
          <w:p>
            <w:pPr>
              <w:tabs>
                <w:tab w:val="left" w:pos="864"/>
              </w:tabs>
              <w:spacing w:line="360" w:lineRule="auto"/>
              <w:jc w:val="center"/>
              <w:rPr>
                <w:rFonts w:hint="default" w:ascii="宋体" w:hAnsi="宋体" w:eastAsia="宋体"/>
                <w:b/>
                <w:bCs/>
                <w:kern w:val="0"/>
                <w:sz w:val="24"/>
                <w:szCs w:val="24"/>
                <w:highlight w:val="none"/>
                <w:lang w:val="en-US" w:eastAsia="zh-CN"/>
              </w:rPr>
            </w:pPr>
            <w:r>
              <w:rPr>
                <w:rFonts w:hint="eastAsia" w:ascii="宋体" w:hAnsi="宋体"/>
                <w:b/>
                <w:bCs/>
                <w:kern w:val="0"/>
                <w:sz w:val="24"/>
                <w:szCs w:val="24"/>
                <w:highlight w:val="none"/>
                <w:lang w:val="en-US" w:eastAsia="zh-CN"/>
              </w:rPr>
              <w:t>2024.6-7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0" w:type="dxa"/>
            <w:noWrap/>
            <w:vAlign w:val="top"/>
          </w:tcPr>
          <w:p>
            <w:pPr>
              <w:pStyle w:val="18"/>
              <w:numPr>
                <w:ilvl w:val="0"/>
                <w:numId w:val="2"/>
              </w:numPr>
              <w:tabs>
                <w:tab w:val="left" w:pos="864"/>
              </w:tabs>
              <w:spacing w:line="360" w:lineRule="auto"/>
              <w:ind w:firstLineChars="0"/>
              <w:jc w:val="center"/>
              <w:rPr>
                <w:rFonts w:ascii="宋体" w:hAnsi="宋体"/>
                <w:kern w:val="0"/>
                <w:sz w:val="24"/>
                <w:szCs w:val="24"/>
                <w:highlight w:val="none"/>
              </w:rPr>
            </w:pPr>
          </w:p>
        </w:tc>
        <w:tc>
          <w:tcPr>
            <w:tcW w:w="3827" w:type="dxa"/>
            <w:noWrap/>
            <w:vAlign w:val="top"/>
          </w:tcPr>
          <w:p>
            <w:pPr>
              <w:tabs>
                <w:tab w:val="left" w:pos="864"/>
              </w:tabs>
              <w:spacing w:line="360" w:lineRule="auto"/>
              <w:jc w:val="center"/>
              <w:rPr>
                <w:rFonts w:ascii="宋体" w:hAnsi="宋体"/>
                <w:kern w:val="0"/>
                <w:sz w:val="24"/>
                <w:szCs w:val="24"/>
                <w:highlight w:val="none"/>
              </w:rPr>
            </w:pPr>
            <w:r>
              <w:rPr>
                <w:rFonts w:hint="eastAsia" w:ascii="宋体" w:hAnsi="宋体"/>
                <w:kern w:val="0"/>
                <w:sz w:val="24"/>
                <w:szCs w:val="24"/>
                <w:highlight w:val="none"/>
              </w:rPr>
              <w:t>政府采购计划申报</w:t>
            </w:r>
          </w:p>
        </w:tc>
        <w:tc>
          <w:tcPr>
            <w:tcW w:w="3261" w:type="dxa"/>
            <w:noWrap/>
            <w:vAlign w:val="top"/>
          </w:tcPr>
          <w:p>
            <w:pPr>
              <w:tabs>
                <w:tab w:val="left" w:pos="864"/>
              </w:tabs>
              <w:spacing w:line="360" w:lineRule="auto"/>
              <w:jc w:val="center"/>
              <w:rPr>
                <w:rFonts w:hint="default" w:ascii="宋体" w:hAnsi="宋体" w:eastAsia="宋体"/>
                <w:b/>
                <w:bCs/>
                <w:kern w:val="0"/>
                <w:sz w:val="24"/>
                <w:szCs w:val="24"/>
                <w:highlight w:val="none"/>
                <w:lang w:val="en-US" w:eastAsia="zh-CN"/>
              </w:rPr>
            </w:pPr>
            <w:r>
              <w:rPr>
                <w:rFonts w:hint="eastAsia" w:ascii="宋体" w:hAnsi="宋体"/>
                <w:b/>
                <w:bCs/>
                <w:kern w:val="0"/>
                <w:sz w:val="24"/>
                <w:szCs w:val="24"/>
                <w:highlight w:val="none"/>
                <w:lang w:val="en-US" w:eastAsia="zh-CN"/>
              </w:rPr>
              <w:t>2024.7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0" w:type="dxa"/>
            <w:noWrap/>
            <w:vAlign w:val="top"/>
          </w:tcPr>
          <w:p>
            <w:pPr>
              <w:pStyle w:val="18"/>
              <w:numPr>
                <w:ilvl w:val="0"/>
                <w:numId w:val="2"/>
              </w:numPr>
              <w:tabs>
                <w:tab w:val="left" w:pos="864"/>
              </w:tabs>
              <w:spacing w:line="360" w:lineRule="auto"/>
              <w:ind w:firstLineChars="0"/>
              <w:jc w:val="center"/>
              <w:rPr>
                <w:rFonts w:ascii="宋体" w:hAnsi="宋体"/>
                <w:kern w:val="0"/>
                <w:sz w:val="24"/>
                <w:szCs w:val="24"/>
                <w:highlight w:val="none"/>
              </w:rPr>
            </w:pPr>
          </w:p>
        </w:tc>
        <w:tc>
          <w:tcPr>
            <w:tcW w:w="3827" w:type="dxa"/>
            <w:noWrap/>
            <w:vAlign w:val="top"/>
          </w:tcPr>
          <w:p>
            <w:pPr>
              <w:tabs>
                <w:tab w:val="left" w:pos="864"/>
              </w:tabs>
              <w:spacing w:line="360" w:lineRule="auto"/>
              <w:jc w:val="center"/>
              <w:rPr>
                <w:rFonts w:ascii="宋体" w:hAnsi="宋体"/>
                <w:kern w:val="0"/>
                <w:sz w:val="24"/>
                <w:szCs w:val="24"/>
                <w:highlight w:val="none"/>
              </w:rPr>
            </w:pPr>
            <w:r>
              <w:rPr>
                <w:rFonts w:hint="eastAsia" w:ascii="宋体" w:hAnsi="宋体"/>
                <w:kern w:val="0"/>
                <w:sz w:val="24"/>
                <w:szCs w:val="24"/>
                <w:highlight w:val="none"/>
              </w:rPr>
              <w:t>办理项目备案（如有）</w:t>
            </w:r>
          </w:p>
        </w:tc>
        <w:tc>
          <w:tcPr>
            <w:tcW w:w="3261" w:type="dxa"/>
            <w:noWrap/>
            <w:vAlign w:val="top"/>
          </w:tcPr>
          <w:p>
            <w:pPr>
              <w:tabs>
                <w:tab w:val="left" w:pos="864"/>
              </w:tabs>
              <w:spacing w:line="360" w:lineRule="auto"/>
              <w:jc w:val="center"/>
              <w:rPr>
                <w:rFonts w:hint="eastAsia" w:ascii="宋体" w:hAnsi="宋体" w:eastAsia="宋体"/>
                <w:kern w:val="0"/>
                <w:sz w:val="24"/>
                <w:szCs w:val="24"/>
                <w:highlight w:val="none"/>
                <w:lang w:val="en-US" w:eastAsia="zh-CN"/>
              </w:rPr>
            </w:pPr>
            <w:r>
              <w:rPr>
                <w:rFonts w:hint="eastAsia" w:ascii="宋体" w:hAnsi="宋体"/>
                <w:kern w:val="0"/>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0" w:type="dxa"/>
            <w:noWrap/>
            <w:vAlign w:val="top"/>
          </w:tcPr>
          <w:p>
            <w:pPr>
              <w:pStyle w:val="18"/>
              <w:numPr>
                <w:ilvl w:val="0"/>
                <w:numId w:val="2"/>
              </w:numPr>
              <w:tabs>
                <w:tab w:val="left" w:pos="864"/>
              </w:tabs>
              <w:spacing w:line="360" w:lineRule="auto"/>
              <w:ind w:firstLineChars="0"/>
              <w:jc w:val="center"/>
              <w:rPr>
                <w:rFonts w:ascii="宋体" w:hAnsi="宋体"/>
                <w:kern w:val="0"/>
                <w:sz w:val="24"/>
                <w:szCs w:val="24"/>
                <w:highlight w:val="none"/>
              </w:rPr>
            </w:pPr>
          </w:p>
        </w:tc>
        <w:tc>
          <w:tcPr>
            <w:tcW w:w="3827" w:type="dxa"/>
            <w:noWrap/>
            <w:vAlign w:val="top"/>
          </w:tcPr>
          <w:p>
            <w:pPr>
              <w:tabs>
                <w:tab w:val="left" w:pos="864"/>
              </w:tabs>
              <w:spacing w:line="360" w:lineRule="auto"/>
              <w:jc w:val="center"/>
              <w:rPr>
                <w:rFonts w:ascii="宋体" w:hAnsi="宋体"/>
                <w:kern w:val="0"/>
                <w:sz w:val="24"/>
                <w:szCs w:val="24"/>
                <w:highlight w:val="none"/>
              </w:rPr>
            </w:pPr>
            <w:r>
              <w:rPr>
                <w:rFonts w:hint="eastAsia" w:ascii="宋体" w:hAnsi="宋体"/>
                <w:kern w:val="0"/>
                <w:sz w:val="24"/>
                <w:szCs w:val="24"/>
                <w:highlight w:val="none"/>
              </w:rPr>
              <w:t>编制采购/招标文件</w:t>
            </w:r>
          </w:p>
        </w:tc>
        <w:tc>
          <w:tcPr>
            <w:tcW w:w="3261" w:type="dxa"/>
            <w:noWrap/>
            <w:vAlign w:val="top"/>
          </w:tcPr>
          <w:p>
            <w:pPr>
              <w:tabs>
                <w:tab w:val="left" w:pos="864"/>
              </w:tabs>
              <w:spacing w:line="360" w:lineRule="auto"/>
              <w:jc w:val="center"/>
              <w:rPr>
                <w:rFonts w:ascii="宋体" w:hAnsi="宋体"/>
                <w:kern w:val="0"/>
                <w:sz w:val="24"/>
                <w:szCs w:val="24"/>
                <w:highlight w:val="none"/>
              </w:rPr>
            </w:pPr>
            <w:r>
              <w:rPr>
                <w:rFonts w:hint="eastAsia" w:ascii="宋体" w:hAnsi="宋体"/>
                <w:b/>
                <w:bCs/>
                <w:kern w:val="0"/>
                <w:sz w:val="24"/>
                <w:szCs w:val="24"/>
                <w:highlight w:val="none"/>
                <w:lang w:val="en-US" w:eastAsia="zh-CN"/>
              </w:rPr>
              <w:t>2024.7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0" w:type="dxa"/>
            <w:noWrap/>
            <w:vAlign w:val="top"/>
          </w:tcPr>
          <w:p>
            <w:pPr>
              <w:pStyle w:val="18"/>
              <w:numPr>
                <w:ilvl w:val="0"/>
                <w:numId w:val="2"/>
              </w:numPr>
              <w:tabs>
                <w:tab w:val="left" w:pos="864"/>
              </w:tabs>
              <w:spacing w:line="360" w:lineRule="auto"/>
              <w:ind w:firstLineChars="0"/>
              <w:jc w:val="center"/>
              <w:rPr>
                <w:rFonts w:ascii="宋体" w:hAnsi="宋体"/>
                <w:kern w:val="0"/>
                <w:sz w:val="24"/>
                <w:szCs w:val="24"/>
                <w:highlight w:val="none"/>
              </w:rPr>
            </w:pPr>
          </w:p>
        </w:tc>
        <w:tc>
          <w:tcPr>
            <w:tcW w:w="3827" w:type="dxa"/>
            <w:noWrap/>
            <w:vAlign w:val="top"/>
          </w:tcPr>
          <w:p>
            <w:pPr>
              <w:tabs>
                <w:tab w:val="left" w:pos="864"/>
              </w:tabs>
              <w:spacing w:line="360" w:lineRule="auto"/>
              <w:jc w:val="center"/>
              <w:rPr>
                <w:rFonts w:ascii="宋体" w:hAnsi="宋体"/>
                <w:kern w:val="0"/>
                <w:sz w:val="24"/>
                <w:szCs w:val="24"/>
                <w:highlight w:val="none"/>
              </w:rPr>
            </w:pPr>
            <w:r>
              <w:rPr>
                <w:rFonts w:hint="eastAsia" w:ascii="宋体" w:hAnsi="宋体"/>
                <w:kern w:val="0"/>
                <w:sz w:val="24"/>
                <w:szCs w:val="24"/>
                <w:highlight w:val="none"/>
              </w:rPr>
              <w:t>发布采购/招标公告</w:t>
            </w:r>
          </w:p>
        </w:tc>
        <w:tc>
          <w:tcPr>
            <w:tcW w:w="3261" w:type="dxa"/>
            <w:noWrap/>
            <w:vAlign w:val="top"/>
          </w:tcPr>
          <w:p>
            <w:pPr>
              <w:tabs>
                <w:tab w:val="left" w:pos="864"/>
              </w:tabs>
              <w:spacing w:line="360" w:lineRule="auto"/>
              <w:jc w:val="center"/>
              <w:rPr>
                <w:rFonts w:ascii="宋体" w:hAnsi="宋体"/>
                <w:kern w:val="0"/>
                <w:sz w:val="24"/>
                <w:szCs w:val="24"/>
                <w:highlight w:val="none"/>
              </w:rPr>
            </w:pPr>
            <w:r>
              <w:rPr>
                <w:rFonts w:hint="eastAsia" w:ascii="宋体" w:hAnsi="宋体"/>
                <w:b/>
                <w:bCs/>
                <w:kern w:val="0"/>
                <w:sz w:val="24"/>
                <w:szCs w:val="24"/>
                <w:highlight w:val="none"/>
                <w:lang w:val="en-US" w:eastAsia="zh-CN"/>
              </w:rPr>
              <w:t>2024.7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0" w:type="dxa"/>
            <w:noWrap/>
            <w:vAlign w:val="top"/>
          </w:tcPr>
          <w:p>
            <w:pPr>
              <w:pStyle w:val="18"/>
              <w:numPr>
                <w:ilvl w:val="0"/>
                <w:numId w:val="2"/>
              </w:numPr>
              <w:tabs>
                <w:tab w:val="left" w:pos="864"/>
              </w:tabs>
              <w:spacing w:line="360" w:lineRule="auto"/>
              <w:ind w:firstLineChars="0"/>
              <w:jc w:val="center"/>
              <w:rPr>
                <w:rFonts w:ascii="宋体" w:hAnsi="宋体"/>
                <w:kern w:val="0"/>
                <w:sz w:val="24"/>
                <w:szCs w:val="24"/>
                <w:highlight w:val="none"/>
              </w:rPr>
            </w:pPr>
          </w:p>
        </w:tc>
        <w:tc>
          <w:tcPr>
            <w:tcW w:w="3827" w:type="dxa"/>
            <w:noWrap/>
            <w:vAlign w:val="top"/>
          </w:tcPr>
          <w:p>
            <w:pPr>
              <w:tabs>
                <w:tab w:val="left" w:pos="864"/>
              </w:tabs>
              <w:spacing w:line="360" w:lineRule="auto"/>
              <w:jc w:val="center"/>
              <w:rPr>
                <w:rFonts w:ascii="宋体" w:hAnsi="宋体"/>
                <w:kern w:val="0"/>
                <w:sz w:val="24"/>
                <w:szCs w:val="24"/>
                <w:highlight w:val="none"/>
              </w:rPr>
            </w:pPr>
            <w:r>
              <w:rPr>
                <w:rFonts w:hint="eastAsia" w:ascii="宋体" w:hAnsi="宋体"/>
                <w:kern w:val="0"/>
                <w:sz w:val="24"/>
                <w:szCs w:val="24"/>
                <w:highlight w:val="none"/>
              </w:rPr>
              <w:t>项目评审/开标、评标</w:t>
            </w:r>
          </w:p>
        </w:tc>
        <w:tc>
          <w:tcPr>
            <w:tcW w:w="3261" w:type="dxa"/>
            <w:noWrap/>
            <w:vAlign w:val="top"/>
          </w:tcPr>
          <w:p>
            <w:pPr>
              <w:tabs>
                <w:tab w:val="left" w:pos="864"/>
              </w:tabs>
              <w:spacing w:line="360" w:lineRule="auto"/>
              <w:jc w:val="center"/>
              <w:rPr>
                <w:rFonts w:ascii="宋体" w:hAnsi="宋体"/>
                <w:kern w:val="0"/>
                <w:sz w:val="24"/>
                <w:szCs w:val="24"/>
                <w:highlight w:val="none"/>
              </w:rPr>
            </w:pPr>
            <w:r>
              <w:rPr>
                <w:rFonts w:hint="eastAsia" w:ascii="宋体" w:hAnsi="宋体"/>
                <w:b/>
                <w:bCs/>
                <w:kern w:val="0"/>
                <w:sz w:val="24"/>
                <w:szCs w:val="24"/>
                <w:highlight w:val="none"/>
                <w:lang w:val="en-US" w:eastAsia="zh-CN"/>
              </w:rPr>
              <w:t>2024.7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0" w:type="dxa"/>
            <w:noWrap/>
            <w:vAlign w:val="top"/>
          </w:tcPr>
          <w:p>
            <w:pPr>
              <w:pStyle w:val="18"/>
              <w:numPr>
                <w:ilvl w:val="0"/>
                <w:numId w:val="2"/>
              </w:numPr>
              <w:tabs>
                <w:tab w:val="left" w:pos="864"/>
              </w:tabs>
              <w:spacing w:line="360" w:lineRule="auto"/>
              <w:ind w:firstLineChars="0"/>
              <w:jc w:val="center"/>
              <w:rPr>
                <w:rFonts w:ascii="宋体" w:hAnsi="宋体"/>
                <w:kern w:val="0"/>
                <w:sz w:val="24"/>
                <w:szCs w:val="24"/>
                <w:highlight w:val="none"/>
              </w:rPr>
            </w:pPr>
          </w:p>
        </w:tc>
        <w:tc>
          <w:tcPr>
            <w:tcW w:w="3827" w:type="dxa"/>
            <w:noWrap/>
            <w:vAlign w:val="top"/>
          </w:tcPr>
          <w:p>
            <w:pPr>
              <w:tabs>
                <w:tab w:val="left" w:pos="864"/>
              </w:tabs>
              <w:spacing w:line="360" w:lineRule="auto"/>
              <w:jc w:val="center"/>
              <w:rPr>
                <w:rFonts w:ascii="宋体" w:hAnsi="宋体"/>
                <w:kern w:val="0"/>
                <w:sz w:val="24"/>
                <w:szCs w:val="24"/>
                <w:highlight w:val="none"/>
              </w:rPr>
            </w:pPr>
            <w:r>
              <w:rPr>
                <w:rFonts w:hint="eastAsia" w:ascii="宋体" w:hAnsi="宋体"/>
                <w:kern w:val="0"/>
                <w:sz w:val="24"/>
                <w:szCs w:val="24"/>
                <w:highlight w:val="none"/>
              </w:rPr>
              <w:t>发布成交/中标公告</w:t>
            </w:r>
          </w:p>
        </w:tc>
        <w:tc>
          <w:tcPr>
            <w:tcW w:w="3261" w:type="dxa"/>
            <w:noWrap/>
            <w:vAlign w:val="top"/>
          </w:tcPr>
          <w:p>
            <w:pPr>
              <w:tabs>
                <w:tab w:val="left" w:pos="864"/>
              </w:tabs>
              <w:spacing w:line="360" w:lineRule="auto"/>
              <w:jc w:val="center"/>
              <w:rPr>
                <w:rFonts w:ascii="宋体" w:hAnsi="宋体"/>
                <w:kern w:val="0"/>
                <w:sz w:val="24"/>
                <w:szCs w:val="24"/>
                <w:highlight w:val="none"/>
              </w:rPr>
            </w:pPr>
            <w:r>
              <w:rPr>
                <w:rFonts w:hint="eastAsia" w:ascii="宋体" w:hAnsi="宋体"/>
                <w:b/>
                <w:bCs/>
                <w:kern w:val="0"/>
                <w:sz w:val="24"/>
                <w:szCs w:val="24"/>
                <w:highlight w:val="none"/>
                <w:lang w:val="en-US" w:eastAsia="zh-CN"/>
              </w:rPr>
              <w:t>2024.7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1100" w:type="dxa"/>
            <w:noWrap/>
            <w:vAlign w:val="top"/>
          </w:tcPr>
          <w:p>
            <w:pPr>
              <w:pStyle w:val="18"/>
              <w:numPr>
                <w:ilvl w:val="0"/>
                <w:numId w:val="2"/>
              </w:numPr>
              <w:tabs>
                <w:tab w:val="left" w:pos="864"/>
              </w:tabs>
              <w:spacing w:line="360" w:lineRule="auto"/>
              <w:ind w:firstLineChars="0"/>
              <w:jc w:val="center"/>
              <w:rPr>
                <w:rFonts w:ascii="宋体" w:hAnsi="宋体"/>
                <w:kern w:val="0"/>
                <w:sz w:val="24"/>
                <w:szCs w:val="24"/>
                <w:highlight w:val="none"/>
              </w:rPr>
            </w:pPr>
          </w:p>
        </w:tc>
        <w:tc>
          <w:tcPr>
            <w:tcW w:w="3827" w:type="dxa"/>
            <w:noWrap/>
            <w:vAlign w:val="top"/>
          </w:tcPr>
          <w:p>
            <w:pPr>
              <w:tabs>
                <w:tab w:val="left" w:pos="864"/>
              </w:tabs>
              <w:spacing w:line="360" w:lineRule="auto"/>
              <w:jc w:val="center"/>
              <w:rPr>
                <w:rFonts w:ascii="宋体" w:hAnsi="宋体"/>
                <w:kern w:val="0"/>
                <w:sz w:val="24"/>
                <w:szCs w:val="24"/>
                <w:highlight w:val="none"/>
              </w:rPr>
            </w:pPr>
            <w:r>
              <w:rPr>
                <w:rFonts w:hint="eastAsia" w:ascii="宋体" w:hAnsi="宋体"/>
                <w:kern w:val="0"/>
                <w:sz w:val="24"/>
                <w:szCs w:val="24"/>
                <w:highlight w:val="none"/>
              </w:rPr>
              <w:t>签订采购合同</w:t>
            </w:r>
          </w:p>
        </w:tc>
        <w:tc>
          <w:tcPr>
            <w:tcW w:w="3261" w:type="dxa"/>
            <w:noWrap/>
            <w:vAlign w:val="top"/>
          </w:tcPr>
          <w:p>
            <w:pPr>
              <w:tabs>
                <w:tab w:val="left" w:pos="864"/>
              </w:tabs>
              <w:spacing w:line="360" w:lineRule="auto"/>
              <w:jc w:val="center"/>
              <w:rPr>
                <w:rFonts w:ascii="宋体" w:hAnsi="宋体"/>
                <w:kern w:val="0"/>
                <w:sz w:val="24"/>
                <w:szCs w:val="24"/>
                <w:highlight w:val="none"/>
              </w:rPr>
            </w:pPr>
            <w:r>
              <w:rPr>
                <w:rFonts w:hint="eastAsia" w:ascii="宋体" w:hAnsi="宋体"/>
                <w:b/>
                <w:bCs/>
                <w:kern w:val="0"/>
                <w:sz w:val="24"/>
                <w:szCs w:val="24"/>
                <w:highlight w:val="none"/>
                <w:lang w:val="en-US" w:eastAsia="zh-CN"/>
              </w:rPr>
              <w:t>2024.8</w:t>
            </w:r>
          </w:p>
        </w:tc>
      </w:tr>
    </w:tbl>
    <w:p>
      <w:pPr>
        <w:pStyle w:val="17"/>
        <w:spacing w:line="360" w:lineRule="auto"/>
        <w:ind w:firstLine="482"/>
        <w:rPr>
          <w:rFonts w:ascii="宋体" w:hAnsi="宋体"/>
          <w:b/>
          <w:bCs/>
          <w:sz w:val="24"/>
          <w:szCs w:val="24"/>
          <w:highlight w:val="none"/>
        </w:rPr>
      </w:pPr>
      <w:bookmarkStart w:id="2" w:name="_Toc17074"/>
      <w:r>
        <w:rPr>
          <w:rFonts w:hint="eastAsia" w:ascii="宋体" w:hAnsi="宋体"/>
          <w:b/>
          <w:bCs/>
          <w:sz w:val="24"/>
          <w:szCs w:val="24"/>
          <w:highlight w:val="none"/>
        </w:rPr>
        <w:t>（三）采购组织形式和委托代理安排</w:t>
      </w:r>
      <w:bookmarkEnd w:id="2"/>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t>1</w:t>
      </w:r>
      <w:r>
        <w:rPr>
          <w:rFonts w:ascii="宋体" w:hAnsi="宋体" w:cs="仿宋"/>
          <w:sz w:val="24"/>
          <w:szCs w:val="24"/>
          <w:highlight w:val="none"/>
        </w:rPr>
        <w:t>.</w:t>
      </w:r>
      <w:r>
        <w:rPr>
          <w:rFonts w:hint="eastAsia" w:ascii="宋体" w:hAnsi="宋体" w:cs="仿宋"/>
          <w:sz w:val="24"/>
          <w:szCs w:val="24"/>
          <w:highlight w:val="none"/>
        </w:rPr>
        <w:t>采购组织形式</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t>□自行采购</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sym w:font="Wingdings 2" w:char="0052"/>
      </w:r>
      <w:r>
        <w:rPr>
          <w:rFonts w:hint="eastAsia" w:ascii="宋体" w:hAnsi="宋体" w:cs="仿宋"/>
          <w:sz w:val="24"/>
          <w:szCs w:val="24"/>
          <w:highlight w:val="none"/>
        </w:rPr>
        <w:t>委托代理公司采购</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t>2</w:t>
      </w:r>
      <w:r>
        <w:rPr>
          <w:rFonts w:ascii="宋体" w:hAnsi="宋体" w:cs="仿宋"/>
          <w:sz w:val="24"/>
          <w:szCs w:val="24"/>
          <w:highlight w:val="none"/>
        </w:rPr>
        <w:t>.</w:t>
      </w:r>
      <w:r>
        <w:rPr>
          <w:rFonts w:hint="eastAsia" w:ascii="宋体" w:hAnsi="宋体" w:cs="仿宋"/>
          <w:sz w:val="24"/>
          <w:szCs w:val="24"/>
          <w:highlight w:val="none"/>
        </w:rPr>
        <w:t>委托代理安排：委托代理采购</w:t>
      </w:r>
    </w:p>
    <w:p>
      <w:pPr>
        <w:widowControl/>
        <w:spacing w:line="360" w:lineRule="auto"/>
        <w:ind w:firstLine="600"/>
        <w:jc w:val="left"/>
        <w:rPr>
          <w:rFonts w:ascii="宋体" w:hAnsi="宋体" w:cs="仿宋"/>
          <w:sz w:val="24"/>
          <w:szCs w:val="24"/>
          <w:highlight w:val="none"/>
        </w:rPr>
      </w:pPr>
      <w:r>
        <w:rPr>
          <w:rFonts w:ascii="宋体" w:hAnsi="宋体" w:cs="仿宋"/>
          <w:sz w:val="24"/>
          <w:szCs w:val="24"/>
          <w:highlight w:val="none"/>
        </w:rPr>
        <w:t>3.</w:t>
      </w:r>
      <w:r>
        <w:rPr>
          <w:rFonts w:hint="eastAsia" w:ascii="宋体" w:hAnsi="宋体" w:cs="仿宋"/>
          <w:sz w:val="24"/>
          <w:szCs w:val="24"/>
          <w:highlight w:val="none"/>
        </w:rPr>
        <w:t>采购信息发布媒体（可多选）：</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sym w:font="Wingdings 2" w:char="0052"/>
      </w:r>
      <w:r>
        <w:rPr>
          <w:rFonts w:hint="eastAsia" w:ascii="宋体" w:hAnsi="宋体" w:cs="仿宋"/>
          <w:sz w:val="24"/>
          <w:szCs w:val="24"/>
          <w:highlight w:val="none"/>
          <w:lang w:val="en-US" w:eastAsia="zh-CN"/>
        </w:rPr>
        <w:t>湄洲湾职业技术学院后勤通告</w:t>
      </w:r>
      <w:r>
        <w:rPr>
          <w:rFonts w:hint="eastAsia" w:ascii="宋体" w:hAnsi="宋体" w:cs="仿宋"/>
          <w:sz w:val="24"/>
          <w:szCs w:val="24"/>
          <w:highlight w:val="none"/>
        </w:rPr>
        <w:t>主页</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sym w:font="Wingdings 2" w:char="0052"/>
      </w:r>
      <w:r>
        <w:rPr>
          <w:rFonts w:hint="eastAsia" w:ascii="宋体" w:hAnsi="宋体" w:cs="仿宋"/>
          <w:sz w:val="24"/>
          <w:szCs w:val="24"/>
          <w:highlight w:val="none"/>
        </w:rPr>
        <w:t>中国政府采购网</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t>□</w:t>
      </w:r>
      <w:r>
        <w:rPr>
          <w:rFonts w:hint="eastAsia" w:ascii="宋体" w:hAnsi="宋体" w:cs="仿宋"/>
          <w:sz w:val="24"/>
          <w:szCs w:val="24"/>
          <w:highlight w:val="none"/>
          <w:lang w:val="en-US" w:eastAsia="zh-CN"/>
        </w:rPr>
        <w:t>福建</w:t>
      </w:r>
      <w:r>
        <w:rPr>
          <w:rFonts w:hint="eastAsia" w:ascii="宋体" w:hAnsi="宋体" w:cs="仿宋"/>
          <w:sz w:val="24"/>
          <w:szCs w:val="24"/>
          <w:highlight w:val="none"/>
        </w:rPr>
        <w:t>省公共资源交易中心网站</w:t>
      </w:r>
    </w:p>
    <w:p>
      <w:pPr>
        <w:widowControl/>
        <w:spacing w:line="360" w:lineRule="auto"/>
        <w:ind w:firstLine="600"/>
        <w:jc w:val="left"/>
        <w:rPr>
          <w:rFonts w:ascii="宋体" w:hAnsi="宋体" w:cs="仿宋"/>
          <w:sz w:val="24"/>
          <w:szCs w:val="24"/>
          <w:highlight w:val="none"/>
          <w:u w:val="single"/>
        </w:rPr>
      </w:pPr>
      <w:r>
        <w:rPr>
          <w:rFonts w:hint="eastAsia" w:ascii="宋体" w:hAnsi="宋体" w:cs="仿宋"/>
          <w:sz w:val="24"/>
          <w:szCs w:val="24"/>
          <w:highlight w:val="none"/>
        </w:rPr>
        <w:t>□其他：</w:t>
      </w:r>
    </w:p>
    <w:p>
      <w:pPr>
        <w:pStyle w:val="17"/>
        <w:spacing w:line="360" w:lineRule="auto"/>
        <w:ind w:firstLine="482"/>
        <w:rPr>
          <w:rFonts w:ascii="宋体" w:hAnsi="宋体"/>
          <w:b/>
          <w:bCs/>
          <w:sz w:val="24"/>
          <w:szCs w:val="24"/>
          <w:highlight w:val="none"/>
        </w:rPr>
      </w:pPr>
      <w:bookmarkStart w:id="3" w:name="_Toc32558"/>
      <w:r>
        <w:rPr>
          <w:rFonts w:hint="eastAsia" w:ascii="宋体" w:hAnsi="宋体"/>
          <w:b/>
          <w:bCs/>
          <w:sz w:val="24"/>
          <w:szCs w:val="24"/>
          <w:highlight w:val="none"/>
        </w:rPr>
        <w:t>（四）采购包划分与合同分包</w:t>
      </w:r>
      <w:bookmarkEnd w:id="3"/>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t>标包一：</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t>标包二：</w:t>
      </w:r>
    </w:p>
    <w:p>
      <w:pPr>
        <w:widowControl/>
        <w:spacing w:line="360" w:lineRule="auto"/>
        <w:ind w:firstLine="600"/>
        <w:jc w:val="left"/>
        <w:rPr>
          <w:rFonts w:ascii="宋体" w:hAnsi="宋体" w:cs="仿宋"/>
          <w:sz w:val="24"/>
          <w:szCs w:val="24"/>
          <w:highlight w:val="none"/>
        </w:rPr>
      </w:pPr>
      <w:r>
        <w:rPr>
          <w:rFonts w:ascii="宋体" w:hAnsi="宋体" w:cs="仿宋"/>
          <w:sz w:val="24"/>
          <w:szCs w:val="24"/>
          <w:highlight w:val="none"/>
        </w:rPr>
        <w:t>……</w:t>
      </w:r>
    </w:p>
    <w:p>
      <w:pPr>
        <w:pStyle w:val="17"/>
        <w:spacing w:line="360" w:lineRule="auto"/>
        <w:ind w:firstLine="482"/>
        <w:rPr>
          <w:rFonts w:ascii="宋体" w:hAnsi="宋体"/>
          <w:b/>
          <w:bCs/>
          <w:sz w:val="24"/>
          <w:szCs w:val="24"/>
          <w:highlight w:val="none"/>
        </w:rPr>
      </w:pPr>
      <w:bookmarkStart w:id="4" w:name="_Toc7303"/>
      <w:r>
        <w:rPr>
          <w:rFonts w:hint="eastAsia" w:ascii="宋体" w:hAnsi="宋体"/>
          <w:b/>
          <w:bCs/>
          <w:sz w:val="24"/>
          <w:szCs w:val="24"/>
          <w:highlight w:val="none"/>
        </w:rPr>
        <w:t>（五）供应商资格条件</w:t>
      </w:r>
      <w:bookmarkEnd w:id="4"/>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t>1.基本要求：</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t>满足《中华人民共和国政府采购法》第二十二条规定</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t>2.特定资格要求：</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t>3.落实政府采购政策的要求：政府强制采购节能产品、支持创新、绿色发展、鼓励环保产品、扶持福利企业、促进残疾人就业、促进中小企业发展、支持监狱和戒毒企业等。</w:t>
      </w:r>
    </w:p>
    <w:p>
      <w:pPr>
        <w:pStyle w:val="17"/>
        <w:spacing w:line="360" w:lineRule="auto"/>
        <w:ind w:firstLine="482"/>
        <w:rPr>
          <w:rFonts w:ascii="宋体" w:hAnsi="宋体"/>
          <w:b/>
          <w:bCs/>
          <w:sz w:val="24"/>
          <w:szCs w:val="24"/>
          <w:highlight w:val="none"/>
        </w:rPr>
      </w:pPr>
      <w:bookmarkStart w:id="5" w:name="_Toc13060"/>
      <w:r>
        <w:rPr>
          <w:rFonts w:hint="eastAsia" w:ascii="宋体" w:hAnsi="宋体"/>
          <w:b/>
          <w:bCs/>
          <w:sz w:val="24"/>
          <w:szCs w:val="24"/>
          <w:highlight w:val="none"/>
        </w:rPr>
        <w:t>（六）采购方式</w:t>
      </w:r>
      <w:bookmarkEnd w:id="5"/>
    </w:p>
    <w:p>
      <w:pPr>
        <w:widowControl/>
        <w:spacing w:line="360" w:lineRule="auto"/>
        <w:ind w:firstLine="600"/>
        <w:jc w:val="left"/>
        <w:rPr>
          <w:rFonts w:ascii="宋体" w:hAnsi="宋体" w:cs="仿宋"/>
          <w:b/>
          <w:sz w:val="24"/>
          <w:szCs w:val="24"/>
          <w:highlight w:val="none"/>
        </w:rPr>
      </w:pPr>
      <w:bookmarkStart w:id="6" w:name="_Toc12064"/>
      <w:r>
        <w:rPr>
          <w:rFonts w:hint="eastAsia" w:ascii="宋体" w:hAnsi="宋体" w:cs="仿宋"/>
          <w:b/>
          <w:sz w:val="24"/>
          <w:szCs w:val="24"/>
          <w:highlight w:val="none"/>
        </w:rPr>
        <w:sym w:font="Wingdings 2" w:char="0052"/>
      </w:r>
      <w:r>
        <w:rPr>
          <w:rFonts w:hint="eastAsia" w:ascii="宋体" w:hAnsi="宋体" w:cs="仿宋"/>
          <w:b/>
          <w:sz w:val="24"/>
          <w:szCs w:val="24"/>
          <w:highlight w:val="none"/>
        </w:rPr>
        <w:t>公开招标（适用法定情形）</w:t>
      </w:r>
    </w:p>
    <w:p>
      <w:pPr>
        <w:widowControl/>
        <w:spacing w:line="360" w:lineRule="auto"/>
        <w:ind w:firstLine="601"/>
        <w:jc w:val="left"/>
        <w:rPr>
          <w:rFonts w:ascii="宋体" w:hAnsi="宋体" w:cs="仿宋"/>
          <w:sz w:val="24"/>
          <w:szCs w:val="24"/>
          <w:highlight w:val="none"/>
        </w:rPr>
      </w:pPr>
      <w:r>
        <w:rPr>
          <w:rFonts w:hint="eastAsia" w:ascii="宋体" w:hAnsi="宋体" w:cs="仿宋"/>
          <w:sz w:val="24"/>
          <w:szCs w:val="24"/>
          <w:highlight w:val="none"/>
        </w:rPr>
        <w:sym w:font="Wingdings 2" w:char="0052"/>
      </w:r>
      <w:r>
        <w:rPr>
          <w:rFonts w:hint="eastAsia" w:ascii="宋体" w:hAnsi="宋体" w:cs="仿宋"/>
          <w:sz w:val="24"/>
          <w:szCs w:val="24"/>
          <w:highlight w:val="none"/>
        </w:rPr>
        <w:t>达到国家公开招标限额标准的采购项目；</w:t>
      </w:r>
    </w:p>
    <w:p>
      <w:pPr>
        <w:widowControl/>
        <w:spacing w:line="360" w:lineRule="auto"/>
        <w:ind w:firstLine="601"/>
        <w:jc w:val="left"/>
        <w:rPr>
          <w:rFonts w:ascii="宋体" w:hAnsi="宋体" w:cs="仿宋"/>
          <w:sz w:val="24"/>
          <w:szCs w:val="24"/>
          <w:highlight w:val="none"/>
        </w:rPr>
      </w:pPr>
      <w:r>
        <w:rPr>
          <w:rFonts w:hint="eastAsia" w:ascii="宋体" w:hAnsi="宋体" w:cs="仿宋"/>
          <w:sz w:val="24"/>
          <w:szCs w:val="24"/>
          <w:highlight w:val="none"/>
        </w:rPr>
        <w:t>□采购需求客观、明确且规格、标准统一的采购项目，如通用设备、物业管理等；</w:t>
      </w:r>
    </w:p>
    <w:p>
      <w:pPr>
        <w:widowControl/>
        <w:spacing w:line="360" w:lineRule="auto"/>
        <w:ind w:firstLine="601"/>
        <w:jc w:val="left"/>
        <w:rPr>
          <w:rFonts w:ascii="宋体" w:hAnsi="宋体" w:cs="仿宋"/>
          <w:sz w:val="24"/>
          <w:szCs w:val="24"/>
          <w:highlight w:val="none"/>
        </w:rPr>
      </w:pPr>
      <w:r>
        <w:rPr>
          <w:rFonts w:hint="eastAsia" w:ascii="宋体" w:hAnsi="宋体" w:cs="仿宋"/>
          <w:sz w:val="24"/>
          <w:szCs w:val="24"/>
          <w:highlight w:val="none"/>
        </w:rPr>
        <w:t>□采购需求客观、明确，且技术较复杂或者专业性较强的采购项目，如大型装备、咨询服务等。</w:t>
      </w:r>
    </w:p>
    <w:p>
      <w:pPr>
        <w:widowControl/>
        <w:spacing w:line="360" w:lineRule="auto"/>
        <w:ind w:firstLine="600"/>
        <w:jc w:val="left"/>
        <w:rPr>
          <w:rFonts w:ascii="宋体" w:hAnsi="宋体" w:cs="仿宋"/>
          <w:sz w:val="24"/>
          <w:szCs w:val="24"/>
          <w:highlight w:val="none"/>
        </w:rPr>
      </w:pPr>
      <w:r>
        <w:rPr>
          <w:rFonts w:hint="eastAsia" w:ascii="宋体" w:hAnsi="宋体" w:cs="仿宋"/>
          <w:b/>
          <w:sz w:val="24"/>
          <w:szCs w:val="24"/>
          <w:highlight w:val="none"/>
        </w:rPr>
        <w:sym w:font="Wingdings 2" w:char="00A3"/>
      </w:r>
      <w:r>
        <w:rPr>
          <w:rFonts w:hint="eastAsia" w:ascii="宋体" w:hAnsi="宋体" w:cs="仿宋"/>
          <w:b/>
          <w:sz w:val="24"/>
          <w:szCs w:val="24"/>
          <w:highlight w:val="none"/>
        </w:rPr>
        <w:t>竞争性磋商（符合情形）</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t>□政府购买服务项目；</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t>□技术复杂或者性质特殊，不能确定详细规格或者具体要求的；</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t>□因艺术品采购、专利、专有技术或者服务的时间、数量事先不能确定等原因不能事先计算出价格总额的；</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t>□市场竞争不充分的科研项目，以及需要扶持的科技成果转化项目；</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t>□按照招标投标法及其实施条例必须进行招标的工程建设项目以外的工程建设项目。</w:t>
      </w:r>
    </w:p>
    <w:p>
      <w:pPr>
        <w:widowControl/>
        <w:spacing w:line="360" w:lineRule="auto"/>
        <w:ind w:firstLine="600"/>
        <w:jc w:val="left"/>
        <w:rPr>
          <w:rFonts w:ascii="宋体" w:hAnsi="宋体" w:cs="仿宋"/>
          <w:b/>
          <w:sz w:val="24"/>
          <w:szCs w:val="24"/>
          <w:highlight w:val="none"/>
        </w:rPr>
      </w:pPr>
      <w:r>
        <w:rPr>
          <w:rFonts w:hint="eastAsia" w:ascii="宋体" w:hAnsi="宋体" w:cs="仿宋"/>
          <w:b/>
          <w:sz w:val="24"/>
          <w:szCs w:val="24"/>
          <w:highlight w:val="none"/>
        </w:rPr>
        <w:t>□竞争性谈判（适用情形）</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t>□采购需求客观、明确，且技术较复杂或者专业性较强的采购项目，如大型装备、咨询服务等；</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t>□不能完全确定客观指标，需由供应商提供设计方案、解决方案或者组织方案的采购项目，如首购订购、设计服务、政府和社会资本合作等。</w:t>
      </w:r>
    </w:p>
    <w:p>
      <w:pPr>
        <w:pStyle w:val="17"/>
        <w:spacing w:line="360" w:lineRule="auto"/>
        <w:ind w:firstLine="482"/>
        <w:rPr>
          <w:rFonts w:ascii="宋体" w:hAnsi="宋体" w:cs="仿宋"/>
          <w:b/>
          <w:sz w:val="24"/>
          <w:szCs w:val="24"/>
          <w:highlight w:val="none"/>
        </w:rPr>
      </w:pPr>
      <w:r>
        <w:rPr>
          <w:rFonts w:hint="eastAsia" w:ascii="宋体" w:hAnsi="宋体"/>
          <w:b/>
          <w:sz w:val="24"/>
          <w:szCs w:val="24"/>
          <w:highlight w:val="none"/>
        </w:rPr>
        <w:t>□单一来源</w:t>
      </w:r>
      <w:r>
        <w:rPr>
          <w:rFonts w:hint="eastAsia" w:ascii="宋体" w:hAnsi="宋体" w:cs="仿宋"/>
          <w:b/>
          <w:sz w:val="24"/>
          <w:szCs w:val="24"/>
          <w:highlight w:val="none"/>
        </w:rPr>
        <w:t>（适用情形）</w:t>
      </w:r>
    </w:p>
    <w:p>
      <w:pPr>
        <w:pStyle w:val="11"/>
        <w:spacing w:before="0" w:beforeAutospacing="0" w:after="0" w:afterAutospacing="0" w:line="360" w:lineRule="auto"/>
        <w:ind w:firstLine="480" w:firstLineChars="200"/>
        <w:jc w:val="both"/>
        <w:textAlignment w:val="baseline"/>
        <w:rPr>
          <w:highlight w:val="none"/>
        </w:rPr>
      </w:pPr>
      <w:r>
        <w:rPr>
          <w:rFonts w:hint="eastAsia"/>
          <w:highlight w:val="none"/>
        </w:rPr>
        <w:t>□只能从唯一供应商处采购的；</w:t>
      </w:r>
    </w:p>
    <w:p>
      <w:pPr>
        <w:pStyle w:val="11"/>
        <w:spacing w:before="0" w:beforeAutospacing="0" w:after="0" w:afterAutospacing="0" w:line="360" w:lineRule="auto"/>
        <w:ind w:firstLine="480" w:firstLineChars="200"/>
        <w:jc w:val="both"/>
        <w:textAlignment w:val="baseline"/>
        <w:rPr>
          <w:highlight w:val="none"/>
        </w:rPr>
      </w:pPr>
      <w:r>
        <w:rPr>
          <w:rFonts w:hint="eastAsia"/>
          <w:highlight w:val="none"/>
        </w:rPr>
        <w:t>□发生了不可预见的紧急情况不能从其他供应商处采购的；</w:t>
      </w:r>
    </w:p>
    <w:p>
      <w:pPr>
        <w:pStyle w:val="11"/>
        <w:spacing w:before="0" w:beforeAutospacing="0" w:after="0" w:afterAutospacing="0" w:line="360" w:lineRule="auto"/>
        <w:ind w:firstLine="480" w:firstLineChars="200"/>
        <w:jc w:val="both"/>
        <w:textAlignment w:val="baseline"/>
        <w:rPr>
          <w:highlight w:val="none"/>
        </w:rPr>
      </w:pPr>
      <w:r>
        <w:rPr>
          <w:rFonts w:hint="eastAsia"/>
          <w:highlight w:val="none"/>
        </w:rPr>
        <w:t>□必须保证原有采购项目一致性或者服务配套的要求，需要继续从原供应商处添购，且添购资金总额不超过原合同采购金额百分之十的。</w:t>
      </w:r>
    </w:p>
    <w:p>
      <w:pPr>
        <w:pStyle w:val="17"/>
        <w:spacing w:line="360" w:lineRule="auto"/>
        <w:ind w:firstLine="482"/>
        <w:rPr>
          <w:rFonts w:ascii="宋体" w:hAnsi="宋体"/>
          <w:sz w:val="24"/>
          <w:szCs w:val="24"/>
          <w:highlight w:val="none"/>
        </w:rPr>
      </w:pPr>
      <w:bookmarkStart w:id="7" w:name="_Hlk76973202"/>
      <w:r>
        <w:rPr>
          <w:rFonts w:hint="eastAsia" w:ascii="宋体" w:hAnsi="宋体"/>
          <w:b/>
          <w:sz w:val="24"/>
          <w:szCs w:val="24"/>
          <w:highlight w:val="none"/>
        </w:rPr>
        <w:t>□</w:t>
      </w:r>
      <w:bookmarkEnd w:id="7"/>
      <w:r>
        <w:rPr>
          <w:rFonts w:hint="eastAsia" w:ascii="宋体" w:hAnsi="宋体"/>
          <w:b/>
          <w:sz w:val="24"/>
          <w:szCs w:val="24"/>
          <w:highlight w:val="none"/>
        </w:rPr>
        <w:t>询价（适用情形）：</w:t>
      </w:r>
      <w:r>
        <w:rPr>
          <w:rFonts w:hint="eastAsia" w:ascii="宋体" w:hAnsi="宋体"/>
          <w:sz w:val="24"/>
          <w:szCs w:val="24"/>
          <w:highlight w:val="none"/>
        </w:rPr>
        <w:t>采购需求客观、明确且规格、标准统一</w:t>
      </w:r>
      <w:r>
        <w:rPr>
          <w:rFonts w:hint="eastAsia" w:ascii="宋体" w:hAnsi="宋体" w:cs="仿宋"/>
          <w:sz w:val="24"/>
          <w:szCs w:val="24"/>
          <w:highlight w:val="none"/>
        </w:rPr>
        <w:t>如通用设备、物业管理等</w:t>
      </w:r>
      <w:r>
        <w:rPr>
          <w:rFonts w:hint="eastAsia" w:ascii="宋体" w:hAnsi="宋体"/>
          <w:sz w:val="24"/>
          <w:szCs w:val="24"/>
          <w:highlight w:val="none"/>
        </w:rPr>
        <w:t>。</w:t>
      </w:r>
    </w:p>
    <w:p>
      <w:pPr>
        <w:pStyle w:val="17"/>
        <w:spacing w:line="360" w:lineRule="auto"/>
        <w:ind w:firstLine="482"/>
        <w:rPr>
          <w:rFonts w:ascii="宋体" w:hAnsi="宋体"/>
          <w:sz w:val="24"/>
          <w:szCs w:val="24"/>
          <w:highlight w:val="none"/>
        </w:rPr>
      </w:pPr>
      <w:r>
        <w:rPr>
          <w:rFonts w:hint="eastAsia" w:ascii="宋体" w:hAnsi="宋体"/>
          <w:b/>
          <w:sz w:val="24"/>
          <w:szCs w:val="24"/>
          <w:highlight w:val="none"/>
        </w:rPr>
        <w:t>□核准：</w:t>
      </w:r>
      <w:r>
        <w:rPr>
          <w:rFonts w:hint="eastAsia" w:ascii="宋体" w:hAnsi="宋体"/>
          <w:sz w:val="24"/>
          <w:szCs w:val="24"/>
          <w:highlight w:val="none"/>
        </w:rPr>
        <w:t>达到公开招标数额标准，因特殊情况需要采用公开招标以外采购方式，已依法获得批准。</w:t>
      </w:r>
    </w:p>
    <w:p>
      <w:pPr>
        <w:pStyle w:val="17"/>
        <w:spacing w:line="360" w:lineRule="auto"/>
        <w:ind w:firstLine="361" w:firstLineChars="150"/>
        <w:rPr>
          <w:rFonts w:ascii="宋体" w:hAnsi="宋体"/>
          <w:b/>
          <w:bCs/>
          <w:sz w:val="24"/>
          <w:szCs w:val="24"/>
          <w:highlight w:val="none"/>
        </w:rPr>
      </w:pPr>
      <w:r>
        <w:rPr>
          <w:rFonts w:hint="eastAsia" w:ascii="宋体" w:hAnsi="宋体"/>
          <w:b/>
          <w:bCs/>
          <w:sz w:val="24"/>
          <w:szCs w:val="24"/>
          <w:highlight w:val="none"/>
        </w:rPr>
        <w:t>（七）竞争范围</w:t>
      </w:r>
      <w:bookmarkEnd w:id="6"/>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sym w:font="Wingdings 2" w:char="00A3"/>
      </w:r>
      <w:r>
        <w:rPr>
          <w:rFonts w:hint="eastAsia" w:ascii="宋体" w:hAnsi="宋体" w:cs="仿宋"/>
          <w:sz w:val="24"/>
          <w:szCs w:val="24"/>
          <w:highlight w:val="none"/>
        </w:rPr>
        <w:t>公开邀请</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t>□有限邀请（随机</w:t>
      </w:r>
      <w:r>
        <w:rPr>
          <w:rFonts w:ascii="宋体" w:hAnsi="宋体" w:cs="仿宋"/>
          <w:sz w:val="24"/>
          <w:szCs w:val="24"/>
          <w:highlight w:val="none"/>
        </w:rPr>
        <w:t>抽取或书面推荐</w:t>
      </w:r>
      <w:r>
        <w:rPr>
          <w:rFonts w:hint="eastAsia" w:ascii="宋体" w:hAnsi="宋体" w:cs="仿宋"/>
          <w:sz w:val="24"/>
          <w:szCs w:val="24"/>
          <w:highlight w:val="none"/>
        </w:rPr>
        <w:t>）</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t>□唯一供应商采购</w:t>
      </w:r>
    </w:p>
    <w:p>
      <w:pPr>
        <w:pStyle w:val="17"/>
        <w:spacing w:line="360" w:lineRule="auto"/>
        <w:ind w:firstLine="482"/>
        <w:rPr>
          <w:rFonts w:ascii="宋体" w:hAnsi="宋体"/>
          <w:b/>
          <w:bCs/>
          <w:sz w:val="24"/>
          <w:szCs w:val="24"/>
          <w:highlight w:val="none"/>
        </w:rPr>
      </w:pPr>
      <w:bookmarkStart w:id="8" w:name="_Toc6783"/>
      <w:r>
        <w:rPr>
          <w:rFonts w:hint="eastAsia" w:ascii="宋体" w:hAnsi="宋体"/>
          <w:b/>
          <w:bCs/>
          <w:sz w:val="24"/>
          <w:szCs w:val="24"/>
          <w:highlight w:val="none"/>
        </w:rPr>
        <w:t>（八）评审规则</w:t>
      </w:r>
      <w:bookmarkEnd w:id="8"/>
    </w:p>
    <w:p>
      <w:pPr>
        <w:widowControl/>
        <w:spacing w:line="360" w:lineRule="auto"/>
        <w:ind w:firstLine="600"/>
        <w:jc w:val="left"/>
        <w:rPr>
          <w:rFonts w:ascii="宋体" w:hAnsi="宋体" w:cs="仿宋"/>
          <w:i/>
          <w:sz w:val="24"/>
          <w:szCs w:val="24"/>
          <w:highlight w:val="none"/>
        </w:rPr>
      </w:pPr>
      <w:bookmarkStart w:id="9" w:name="_Toc7678"/>
      <w:r>
        <w:rPr>
          <w:rFonts w:hint="eastAsia" w:ascii="宋体" w:hAnsi="宋体" w:cs="仿宋"/>
          <w:sz w:val="24"/>
          <w:szCs w:val="24"/>
          <w:highlight w:val="none"/>
        </w:rPr>
        <w:sym w:font="Wingdings 2" w:char="0052"/>
      </w:r>
      <w:r>
        <w:rPr>
          <w:rFonts w:hint="eastAsia" w:ascii="宋体" w:hAnsi="宋体" w:cs="仿宋"/>
          <w:sz w:val="24"/>
          <w:szCs w:val="24"/>
          <w:highlight w:val="none"/>
        </w:rPr>
        <w:t>综合评分法</w:t>
      </w:r>
      <w:r>
        <w:rPr>
          <w:rFonts w:hint="eastAsia" w:ascii="宋体" w:hAnsi="宋体" w:cs="仿宋"/>
          <w:i/>
          <w:sz w:val="24"/>
          <w:szCs w:val="24"/>
          <w:highlight w:val="none"/>
          <w:u w:val="single"/>
        </w:rPr>
        <w:t>（选择此评审方法原因）</w:t>
      </w:r>
    </w:p>
    <w:p>
      <w:pPr>
        <w:widowControl/>
        <w:spacing w:line="360" w:lineRule="auto"/>
        <w:ind w:firstLine="600"/>
        <w:jc w:val="left"/>
        <w:rPr>
          <w:rFonts w:hint="eastAsia" w:ascii="宋体" w:hAnsi="宋体" w:cs="仿宋"/>
          <w:i/>
          <w:sz w:val="24"/>
          <w:szCs w:val="24"/>
          <w:highlight w:val="none"/>
          <w:u w:val="single"/>
        </w:rPr>
      </w:pPr>
      <w:r>
        <w:rPr>
          <w:rFonts w:hint="eastAsia" w:ascii="宋体" w:hAnsi="宋体" w:cs="仿宋"/>
          <w:sz w:val="24"/>
          <w:szCs w:val="24"/>
          <w:highlight w:val="none"/>
        </w:rPr>
        <w:t>□最低评标价法</w:t>
      </w:r>
      <w:r>
        <w:rPr>
          <w:rFonts w:hint="eastAsia" w:ascii="宋体" w:hAnsi="宋体" w:cs="仿宋"/>
          <w:i/>
          <w:sz w:val="24"/>
          <w:szCs w:val="24"/>
          <w:highlight w:val="none"/>
          <w:u w:val="single"/>
        </w:rPr>
        <w:t>（选择此评审方法原因）</w:t>
      </w:r>
    </w:p>
    <w:p>
      <w:pPr>
        <w:widowControl/>
        <w:spacing w:line="360" w:lineRule="auto"/>
        <w:ind w:firstLine="600"/>
        <w:jc w:val="left"/>
        <w:rPr>
          <w:rFonts w:hint="eastAsia" w:ascii="宋体" w:hAnsi="宋体" w:cs="仿宋"/>
          <w:color w:val="FF0000"/>
          <w:sz w:val="24"/>
          <w:szCs w:val="24"/>
          <w:highlight w:val="none"/>
        </w:rPr>
      </w:pPr>
      <w:r>
        <w:rPr>
          <w:rFonts w:hint="eastAsia" w:ascii="宋体" w:hAnsi="宋体" w:cs="仿宋"/>
          <w:color w:val="FF0000"/>
          <w:sz w:val="24"/>
          <w:szCs w:val="24"/>
          <w:highlight w:val="none"/>
        </w:rPr>
        <w:t>（</w:t>
      </w:r>
      <w:r>
        <w:rPr>
          <w:rFonts w:hint="eastAsia" w:ascii="宋体" w:hAnsi="宋体" w:cs="仿宋"/>
          <w:color w:val="FF0000"/>
          <w:sz w:val="24"/>
          <w:szCs w:val="24"/>
          <w:highlight w:val="none"/>
          <w:lang w:val="en-US" w:eastAsia="zh-CN"/>
        </w:rPr>
        <w:t>附件1 评审规则</w:t>
      </w:r>
      <w:r>
        <w:rPr>
          <w:rFonts w:hint="eastAsia" w:ascii="宋体" w:hAnsi="宋体" w:cs="仿宋"/>
          <w:color w:val="FF0000"/>
          <w:sz w:val="24"/>
          <w:szCs w:val="24"/>
          <w:highlight w:val="none"/>
        </w:rPr>
        <w:t>）</w:t>
      </w:r>
    </w:p>
    <w:p>
      <w:pPr>
        <w:pStyle w:val="4"/>
        <w:spacing w:line="360" w:lineRule="auto"/>
        <w:ind w:firstLine="472" w:firstLineChars="196"/>
        <w:rPr>
          <w:rFonts w:ascii="黑体" w:hAnsi="黑体" w:eastAsia="黑体"/>
          <w:sz w:val="24"/>
          <w:szCs w:val="24"/>
          <w:highlight w:val="none"/>
        </w:rPr>
      </w:pPr>
      <w:r>
        <w:rPr>
          <w:rFonts w:hint="eastAsia" w:ascii="黑体" w:hAnsi="黑体" w:eastAsia="黑体"/>
          <w:sz w:val="24"/>
          <w:szCs w:val="24"/>
          <w:highlight w:val="none"/>
        </w:rPr>
        <w:t>二、合同管理安排</w:t>
      </w:r>
      <w:bookmarkEnd w:id="9"/>
    </w:p>
    <w:p>
      <w:pPr>
        <w:pStyle w:val="17"/>
        <w:spacing w:line="360" w:lineRule="auto"/>
        <w:ind w:firstLine="482"/>
        <w:rPr>
          <w:rFonts w:ascii="宋体" w:hAnsi="宋体"/>
          <w:b/>
          <w:bCs/>
          <w:sz w:val="24"/>
          <w:szCs w:val="24"/>
          <w:highlight w:val="none"/>
        </w:rPr>
      </w:pPr>
      <w:bookmarkStart w:id="10" w:name="_Toc21661"/>
      <w:r>
        <w:rPr>
          <w:rFonts w:hint="eastAsia" w:ascii="宋体" w:hAnsi="宋体"/>
          <w:b/>
          <w:bCs/>
          <w:sz w:val="24"/>
          <w:szCs w:val="24"/>
          <w:highlight w:val="none"/>
        </w:rPr>
        <w:t>（一）合同类型</w:t>
      </w:r>
      <w:bookmarkEnd w:id="10"/>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t>按照民法典第九章规定的典型合同。</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sym w:font="Wingdings 2" w:char="0052"/>
      </w:r>
      <w:r>
        <w:rPr>
          <w:rFonts w:ascii="宋体" w:hAnsi="宋体" w:cs="仿宋"/>
          <w:sz w:val="24"/>
          <w:szCs w:val="24"/>
          <w:highlight w:val="none"/>
        </w:rPr>
        <w:t>买卖合同</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t>□</w:t>
      </w:r>
      <w:r>
        <w:rPr>
          <w:rFonts w:ascii="宋体" w:hAnsi="宋体" w:cs="仿宋"/>
          <w:sz w:val="24"/>
          <w:szCs w:val="24"/>
          <w:highlight w:val="none"/>
        </w:rPr>
        <w:t>供用电、水、气、热力合同</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t>□</w:t>
      </w:r>
      <w:r>
        <w:rPr>
          <w:rFonts w:ascii="宋体" w:hAnsi="宋体" w:cs="仿宋"/>
          <w:sz w:val="24"/>
          <w:szCs w:val="24"/>
          <w:highlight w:val="none"/>
        </w:rPr>
        <w:t>租赁合同</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t>□</w:t>
      </w:r>
      <w:r>
        <w:rPr>
          <w:rFonts w:ascii="宋体" w:hAnsi="宋体" w:cs="仿宋"/>
          <w:sz w:val="24"/>
          <w:szCs w:val="24"/>
          <w:highlight w:val="none"/>
        </w:rPr>
        <w:t>建设工程合同</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t>□</w:t>
      </w:r>
      <w:r>
        <w:rPr>
          <w:rFonts w:ascii="宋体" w:hAnsi="宋体" w:cs="仿宋"/>
          <w:sz w:val="24"/>
          <w:szCs w:val="24"/>
          <w:highlight w:val="none"/>
        </w:rPr>
        <w:t>技术合同</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t>□</w:t>
      </w:r>
      <w:r>
        <w:rPr>
          <w:rFonts w:ascii="宋体" w:hAnsi="宋体" w:cs="仿宋"/>
          <w:sz w:val="24"/>
          <w:szCs w:val="24"/>
          <w:highlight w:val="none"/>
        </w:rPr>
        <w:t>委托合同</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t>□</w:t>
      </w:r>
      <w:r>
        <w:rPr>
          <w:rFonts w:ascii="宋体" w:hAnsi="宋体" w:cs="仿宋"/>
          <w:sz w:val="24"/>
          <w:szCs w:val="24"/>
          <w:highlight w:val="none"/>
        </w:rPr>
        <w:t>物业服务合同</w:t>
      </w:r>
    </w:p>
    <w:p>
      <w:pPr>
        <w:pStyle w:val="17"/>
        <w:spacing w:line="360" w:lineRule="auto"/>
        <w:ind w:firstLine="482"/>
        <w:rPr>
          <w:rFonts w:ascii="宋体" w:hAnsi="宋体"/>
          <w:b/>
          <w:bCs/>
          <w:sz w:val="24"/>
          <w:szCs w:val="24"/>
          <w:highlight w:val="none"/>
        </w:rPr>
      </w:pPr>
      <w:bookmarkStart w:id="11" w:name="_Toc30617"/>
      <w:r>
        <w:rPr>
          <w:rFonts w:hint="eastAsia" w:ascii="宋体" w:hAnsi="宋体"/>
          <w:b/>
          <w:bCs/>
          <w:sz w:val="24"/>
          <w:szCs w:val="24"/>
          <w:highlight w:val="none"/>
        </w:rPr>
        <w:t>（二）定价方式</w:t>
      </w:r>
      <w:bookmarkEnd w:id="11"/>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t>□固定总价</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t>□固定单价</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t>□成本补偿</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t>□绩效激励</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sym w:font="Wingdings 2" w:char="0052"/>
      </w:r>
      <w:r>
        <w:rPr>
          <w:rFonts w:hint="eastAsia" w:ascii="宋体" w:hAnsi="宋体" w:cs="仿宋"/>
          <w:sz w:val="24"/>
          <w:szCs w:val="24"/>
          <w:highlight w:val="none"/>
        </w:rPr>
        <w:t>多种方式组合定价</w:t>
      </w:r>
    </w:p>
    <w:p>
      <w:pPr>
        <w:pStyle w:val="17"/>
        <w:spacing w:line="360" w:lineRule="auto"/>
        <w:ind w:firstLine="482"/>
        <w:rPr>
          <w:rFonts w:ascii="宋体" w:hAnsi="宋体"/>
          <w:b/>
          <w:bCs/>
          <w:sz w:val="24"/>
          <w:szCs w:val="24"/>
          <w:highlight w:val="none"/>
        </w:rPr>
      </w:pPr>
      <w:bookmarkStart w:id="12" w:name="_Toc23433"/>
      <w:r>
        <w:rPr>
          <w:rFonts w:hint="eastAsia" w:ascii="宋体" w:hAnsi="宋体"/>
          <w:b/>
          <w:bCs/>
          <w:sz w:val="24"/>
          <w:szCs w:val="24"/>
          <w:highlight w:val="none"/>
        </w:rPr>
        <w:t>（三）合同</w:t>
      </w:r>
      <w:bookmarkEnd w:id="12"/>
      <w:r>
        <w:rPr>
          <w:rFonts w:hint="eastAsia" w:ascii="宋体" w:hAnsi="宋体"/>
          <w:b/>
          <w:bCs/>
          <w:sz w:val="24"/>
          <w:szCs w:val="24"/>
          <w:highlight w:val="none"/>
        </w:rPr>
        <w:t>范本</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sym w:font="Wingdings 2" w:char="0052"/>
      </w:r>
      <w:r>
        <w:rPr>
          <w:rFonts w:hint="eastAsia" w:ascii="宋体" w:hAnsi="宋体" w:cs="仿宋"/>
          <w:sz w:val="24"/>
          <w:szCs w:val="24"/>
          <w:highlight w:val="none"/>
        </w:rPr>
        <w:t>设备(软件)购销合同（内贸）</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t>□</w:t>
      </w:r>
      <w:r>
        <w:rPr>
          <w:rFonts w:ascii="宋体" w:hAnsi="宋体" w:cs="仿宋"/>
          <w:sz w:val="24"/>
          <w:szCs w:val="24"/>
          <w:highlight w:val="none"/>
        </w:rPr>
        <w:t>家具(实验台)制作安装购销合同</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t>□</w:t>
      </w:r>
      <w:r>
        <w:rPr>
          <w:rFonts w:ascii="宋体" w:hAnsi="宋体" w:cs="仿宋"/>
          <w:sz w:val="24"/>
          <w:szCs w:val="24"/>
          <w:highlight w:val="none"/>
        </w:rPr>
        <w:t>校医院药品和试剂耗材采购合同</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t>□进口设备购置</w:t>
      </w:r>
      <w:r>
        <w:rPr>
          <w:rFonts w:ascii="宋体" w:hAnsi="宋体" w:cs="仿宋"/>
          <w:sz w:val="24"/>
          <w:szCs w:val="24"/>
          <w:highlight w:val="none"/>
        </w:rPr>
        <w:t>合同</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t>□服务</w:t>
      </w:r>
      <w:r>
        <w:rPr>
          <w:rFonts w:ascii="宋体" w:hAnsi="宋体" w:cs="仿宋"/>
          <w:sz w:val="24"/>
          <w:szCs w:val="24"/>
          <w:highlight w:val="none"/>
        </w:rPr>
        <w:t>合同</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t>□</w:t>
      </w:r>
      <w:r>
        <w:rPr>
          <w:rFonts w:ascii="宋体" w:hAnsi="宋体" w:cs="仿宋"/>
          <w:sz w:val="24"/>
          <w:szCs w:val="24"/>
          <w:highlight w:val="none"/>
        </w:rPr>
        <w:t>建设工程合同</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t>□设备采购及</w:t>
      </w:r>
      <w:r>
        <w:rPr>
          <w:rFonts w:ascii="宋体" w:hAnsi="宋体" w:cs="仿宋"/>
          <w:sz w:val="24"/>
          <w:szCs w:val="24"/>
          <w:highlight w:val="none"/>
        </w:rPr>
        <w:t>安装合同</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t>□维修改造合同</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t>□</w:t>
      </w:r>
      <w:r>
        <w:rPr>
          <w:rFonts w:ascii="宋体" w:hAnsi="宋体" w:cs="仿宋"/>
          <w:sz w:val="24"/>
          <w:szCs w:val="24"/>
          <w:highlight w:val="none"/>
        </w:rPr>
        <w:t>信息化建设银校合作项目合同</w:t>
      </w:r>
    </w:p>
    <w:p>
      <w:pPr>
        <w:pStyle w:val="17"/>
        <w:spacing w:line="360" w:lineRule="auto"/>
        <w:ind w:firstLine="482"/>
        <w:rPr>
          <w:rFonts w:ascii="宋体" w:hAnsi="宋体"/>
          <w:b/>
          <w:bCs/>
          <w:sz w:val="24"/>
          <w:szCs w:val="24"/>
          <w:highlight w:val="none"/>
        </w:rPr>
      </w:pPr>
      <w:bookmarkStart w:id="13" w:name="_Toc5882"/>
      <w:r>
        <w:rPr>
          <w:rFonts w:hint="eastAsia" w:ascii="宋体" w:hAnsi="宋体"/>
          <w:b/>
          <w:bCs/>
          <w:sz w:val="24"/>
          <w:szCs w:val="24"/>
          <w:highlight w:val="none"/>
        </w:rPr>
        <w:t>（五）风险管控措施</w:t>
      </w:r>
      <w:bookmarkEnd w:id="13"/>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t>1.主要风险因素的识别</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t>（1）国家政策变化风险</w:t>
      </w:r>
    </w:p>
    <w:p>
      <w:pPr>
        <w:widowControl/>
        <w:spacing w:line="360" w:lineRule="auto"/>
        <w:ind w:firstLine="600"/>
        <w:jc w:val="left"/>
        <w:rPr>
          <w:rFonts w:ascii="宋体" w:hAnsi="宋体" w:cs="仿宋"/>
          <w:sz w:val="24"/>
          <w:szCs w:val="24"/>
          <w:highlight w:val="none"/>
        </w:rPr>
      </w:pPr>
      <w:bookmarkStart w:id="14" w:name="_Hlk76974208"/>
      <w:r>
        <w:rPr>
          <w:rFonts w:hint="eastAsia" w:ascii="宋体" w:hAnsi="宋体" w:cs="仿宋"/>
          <w:sz w:val="24"/>
          <w:szCs w:val="24"/>
          <w:highlight w:val="none"/>
        </w:rPr>
        <w:sym w:font="Wingdings 2" w:char="0052"/>
      </w:r>
      <w:r>
        <w:rPr>
          <w:rFonts w:hint="eastAsia" w:ascii="宋体" w:hAnsi="宋体" w:cs="仿宋"/>
          <w:sz w:val="24"/>
          <w:szCs w:val="24"/>
          <w:highlight w:val="none"/>
        </w:rPr>
        <w:t>有□无</w:t>
      </w:r>
      <w:bookmarkEnd w:id="14"/>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t>（2）实施环境变化风险</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sym w:font="Wingdings 2" w:char="0052"/>
      </w:r>
      <w:r>
        <w:rPr>
          <w:rFonts w:hint="eastAsia" w:ascii="宋体" w:hAnsi="宋体" w:cs="仿宋"/>
          <w:sz w:val="24"/>
          <w:szCs w:val="24"/>
          <w:highlight w:val="none"/>
        </w:rPr>
        <w:t>有□无</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t>（3）重大技术变化风险</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sym w:font="Wingdings 2" w:char="0052"/>
      </w:r>
      <w:r>
        <w:rPr>
          <w:rFonts w:hint="eastAsia" w:ascii="宋体" w:hAnsi="宋体" w:cs="仿宋"/>
          <w:sz w:val="24"/>
          <w:szCs w:val="24"/>
          <w:highlight w:val="none"/>
        </w:rPr>
        <w:t>有□无</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t>（4）预算项目调整风险</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sym w:font="Wingdings 2" w:char="0052"/>
      </w:r>
      <w:r>
        <w:rPr>
          <w:rFonts w:hint="eastAsia" w:ascii="宋体" w:hAnsi="宋体" w:cs="仿宋"/>
          <w:sz w:val="24"/>
          <w:szCs w:val="24"/>
          <w:highlight w:val="none"/>
        </w:rPr>
        <w:t>有□无</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t>（5）质疑投诉影响采购进度风险</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sym w:font="Wingdings 2" w:char="0052"/>
      </w:r>
      <w:r>
        <w:rPr>
          <w:rFonts w:hint="eastAsia" w:ascii="宋体" w:hAnsi="宋体" w:cs="仿宋"/>
          <w:sz w:val="24"/>
          <w:szCs w:val="24"/>
          <w:highlight w:val="none"/>
        </w:rPr>
        <w:t>有□无</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t>（6）采购失败风险、不按规定签订或者履行合同风险</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sym w:font="Wingdings 2" w:char="0052"/>
      </w:r>
      <w:r>
        <w:rPr>
          <w:rFonts w:hint="eastAsia" w:ascii="宋体" w:hAnsi="宋体" w:cs="仿宋"/>
          <w:sz w:val="24"/>
          <w:szCs w:val="24"/>
          <w:highlight w:val="none"/>
        </w:rPr>
        <w:t>有□无</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t>（7）损害国家利益和社会公共利益的风险等</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sym w:font="Wingdings 2" w:char="0052"/>
      </w:r>
      <w:r>
        <w:rPr>
          <w:rFonts w:hint="eastAsia" w:ascii="宋体" w:hAnsi="宋体" w:cs="仿宋"/>
          <w:sz w:val="24"/>
          <w:szCs w:val="24"/>
          <w:highlight w:val="none"/>
        </w:rPr>
        <w:t>有□无</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t>2.存在风险事项的处置措施（根据风险情况选择）</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t>（1）国家政策变化风险处置措施</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t>（2）实施环境变化风险处置措施</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t>（3）重大技术变化风险处置措施</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t>（4）预算项目调整风险处置措施</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t>（5）质疑投诉影响采购进度风险处置措施</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t>（6）采购失败风险、不按规定签订或者履行合同风险处置措施</w:t>
      </w:r>
    </w:p>
    <w:p>
      <w:pPr>
        <w:widowControl/>
        <w:spacing w:line="360" w:lineRule="auto"/>
        <w:ind w:firstLine="600"/>
        <w:jc w:val="left"/>
        <w:rPr>
          <w:rFonts w:ascii="宋体" w:hAnsi="宋体" w:cs="仿宋"/>
          <w:sz w:val="24"/>
          <w:szCs w:val="24"/>
          <w:highlight w:val="none"/>
        </w:rPr>
      </w:pPr>
      <w:r>
        <w:rPr>
          <w:rFonts w:hint="eastAsia" w:ascii="宋体" w:hAnsi="宋体" w:cs="仿宋"/>
          <w:sz w:val="24"/>
          <w:szCs w:val="24"/>
          <w:highlight w:val="none"/>
        </w:rPr>
        <w:t>（7）损害国家利益和社会公共利益的风险处置措施</w:t>
      </w:r>
    </w:p>
    <w:p>
      <w:pPr>
        <w:pStyle w:val="6"/>
        <w:rPr>
          <w:rFonts w:hint="eastAsia" w:ascii="黑体" w:hAnsi="黑体" w:eastAsia="黑体" w:cs="黑体"/>
          <w:sz w:val="21"/>
          <w:szCs w:val="21"/>
          <w:highlight w:val="none"/>
          <w:lang w:val="en-US" w:eastAsia="zh-CN"/>
        </w:rPr>
      </w:pPr>
    </w:p>
    <w:p>
      <w:pPr>
        <w:pStyle w:val="6"/>
        <w:rPr>
          <w:rFonts w:hint="eastAsia" w:ascii="黑体" w:hAnsi="黑体" w:eastAsia="黑体" w:cs="黑体"/>
          <w:sz w:val="21"/>
          <w:szCs w:val="21"/>
          <w:highlight w:val="none"/>
          <w:lang w:val="en-US" w:eastAsia="zh-CN"/>
        </w:rPr>
      </w:pPr>
    </w:p>
    <w:p>
      <w:pPr>
        <w:pStyle w:val="6"/>
        <w:rPr>
          <w:rFonts w:hint="eastAsia" w:ascii="黑体" w:hAnsi="黑体" w:eastAsia="黑体" w:cs="黑体"/>
          <w:sz w:val="21"/>
          <w:szCs w:val="21"/>
          <w:highlight w:val="none"/>
          <w:lang w:val="en-US" w:eastAsia="zh-CN"/>
        </w:rPr>
      </w:pPr>
    </w:p>
    <w:p>
      <w:pPr>
        <w:pStyle w:val="6"/>
        <w:rPr>
          <w:rFonts w:hint="eastAsia" w:ascii="黑体" w:hAnsi="黑体" w:eastAsia="黑体" w:cs="黑体"/>
          <w:sz w:val="21"/>
          <w:szCs w:val="21"/>
          <w:highlight w:val="none"/>
          <w:lang w:val="en-US" w:eastAsia="zh-CN"/>
        </w:rPr>
      </w:pPr>
    </w:p>
    <w:p>
      <w:pPr>
        <w:pStyle w:val="6"/>
        <w:rPr>
          <w:rFonts w:hint="eastAsia" w:ascii="黑体" w:hAnsi="黑体" w:eastAsia="黑体" w:cs="黑体"/>
          <w:sz w:val="21"/>
          <w:szCs w:val="21"/>
          <w:highlight w:val="none"/>
          <w:lang w:val="en-US" w:eastAsia="zh-CN"/>
        </w:rPr>
      </w:pPr>
    </w:p>
    <w:p>
      <w:pPr>
        <w:pStyle w:val="6"/>
        <w:rPr>
          <w:rFonts w:hint="eastAsia" w:ascii="黑体" w:hAnsi="黑体" w:eastAsia="黑体" w:cs="黑体"/>
          <w:sz w:val="21"/>
          <w:szCs w:val="21"/>
          <w:highlight w:val="none"/>
          <w:lang w:val="en-US" w:eastAsia="zh-CN"/>
        </w:rPr>
      </w:pPr>
    </w:p>
    <w:p>
      <w:pPr>
        <w:pStyle w:val="6"/>
        <w:rPr>
          <w:rFonts w:hint="eastAsia" w:ascii="黑体" w:hAnsi="黑体" w:eastAsia="黑体" w:cs="黑体"/>
          <w:sz w:val="21"/>
          <w:szCs w:val="21"/>
          <w:highlight w:val="none"/>
          <w:lang w:val="en-US" w:eastAsia="zh-CN"/>
        </w:rPr>
      </w:pPr>
    </w:p>
    <w:p>
      <w:pPr>
        <w:pStyle w:val="6"/>
        <w:rPr>
          <w:rFonts w:hint="eastAsia" w:ascii="黑体" w:hAnsi="黑体" w:eastAsia="黑体" w:cs="黑体"/>
          <w:sz w:val="21"/>
          <w:szCs w:val="21"/>
          <w:highlight w:val="none"/>
          <w:lang w:val="en-US" w:eastAsia="zh-CN"/>
        </w:rPr>
      </w:pPr>
    </w:p>
    <w:p>
      <w:pPr>
        <w:pStyle w:val="6"/>
        <w:rPr>
          <w:rFonts w:hint="eastAsia" w:ascii="黑体" w:hAnsi="黑体" w:eastAsia="黑体" w:cs="黑体"/>
          <w:sz w:val="21"/>
          <w:szCs w:val="21"/>
          <w:highlight w:val="none"/>
          <w:lang w:val="en-US" w:eastAsia="zh-CN"/>
        </w:rPr>
      </w:pPr>
    </w:p>
    <w:p>
      <w:pPr>
        <w:pStyle w:val="6"/>
        <w:rPr>
          <w:rFonts w:hint="eastAsia" w:ascii="黑体" w:hAnsi="黑体" w:eastAsia="黑体" w:cs="黑体"/>
          <w:sz w:val="21"/>
          <w:szCs w:val="21"/>
          <w:highlight w:val="none"/>
          <w:lang w:val="en-US" w:eastAsia="zh-CN"/>
        </w:rPr>
      </w:pPr>
    </w:p>
    <w:p>
      <w:pPr>
        <w:pStyle w:val="6"/>
        <w:rPr>
          <w:rFonts w:hint="eastAsia" w:ascii="黑体" w:hAnsi="黑体" w:eastAsia="黑体" w:cs="黑体"/>
          <w:sz w:val="21"/>
          <w:szCs w:val="21"/>
          <w:highlight w:val="none"/>
          <w:lang w:val="en-US" w:eastAsia="zh-CN"/>
        </w:rPr>
      </w:pPr>
    </w:p>
    <w:p>
      <w:pPr>
        <w:pStyle w:val="6"/>
        <w:rPr>
          <w:rFonts w:hint="eastAsia" w:ascii="黑体" w:hAnsi="黑体" w:eastAsia="黑体" w:cs="黑体"/>
          <w:sz w:val="21"/>
          <w:szCs w:val="21"/>
          <w:highlight w:val="none"/>
          <w:lang w:val="en-US" w:eastAsia="zh-CN"/>
        </w:rPr>
      </w:pPr>
    </w:p>
    <w:p>
      <w:pPr>
        <w:pStyle w:val="6"/>
        <w:rPr>
          <w:rFonts w:hint="eastAsia" w:ascii="黑体" w:hAnsi="黑体" w:eastAsia="黑体" w:cs="黑体"/>
          <w:sz w:val="21"/>
          <w:szCs w:val="21"/>
          <w:highlight w:val="none"/>
          <w:lang w:val="en-US" w:eastAsia="zh-CN"/>
        </w:rPr>
      </w:pPr>
    </w:p>
    <w:p>
      <w:pPr>
        <w:pStyle w:val="6"/>
        <w:rPr>
          <w:rFonts w:hint="eastAsia" w:ascii="黑体" w:hAnsi="黑体" w:eastAsia="黑体" w:cs="黑体"/>
          <w:sz w:val="21"/>
          <w:szCs w:val="21"/>
          <w:highlight w:val="none"/>
          <w:lang w:val="en-US" w:eastAsia="zh-CN"/>
        </w:rPr>
      </w:pPr>
    </w:p>
    <w:p>
      <w:pPr>
        <w:pStyle w:val="6"/>
        <w:rPr>
          <w:rFonts w:hint="eastAsia" w:ascii="黑体" w:hAnsi="黑体" w:eastAsia="黑体" w:cs="黑体"/>
          <w:sz w:val="21"/>
          <w:szCs w:val="21"/>
          <w:highlight w:val="none"/>
          <w:lang w:val="en-US" w:eastAsia="zh-CN"/>
        </w:rPr>
      </w:pPr>
    </w:p>
    <w:p>
      <w:pPr>
        <w:pStyle w:val="6"/>
        <w:rPr>
          <w:rFonts w:hint="eastAsia" w:ascii="黑体" w:hAnsi="黑体" w:eastAsia="黑体" w:cs="黑体"/>
          <w:sz w:val="21"/>
          <w:szCs w:val="21"/>
          <w:highlight w:val="none"/>
          <w:lang w:val="en-US" w:eastAsia="zh-CN"/>
        </w:rPr>
      </w:pPr>
    </w:p>
    <w:p>
      <w:pPr>
        <w:pStyle w:val="6"/>
        <w:rPr>
          <w:rFonts w:hint="eastAsia" w:ascii="黑体" w:hAnsi="黑体" w:eastAsia="黑体" w:cs="黑体"/>
          <w:sz w:val="21"/>
          <w:szCs w:val="21"/>
          <w:highlight w:val="none"/>
          <w:lang w:val="en-US" w:eastAsia="zh-CN"/>
        </w:rPr>
      </w:pPr>
    </w:p>
    <w:p>
      <w:pPr>
        <w:pStyle w:val="6"/>
        <w:rPr>
          <w:rFonts w:hint="eastAsia" w:ascii="黑体" w:hAnsi="黑体" w:eastAsia="黑体" w:cs="黑体"/>
          <w:sz w:val="21"/>
          <w:szCs w:val="21"/>
          <w:highlight w:val="none"/>
          <w:lang w:val="en-US" w:eastAsia="zh-CN"/>
        </w:rPr>
      </w:pPr>
    </w:p>
    <w:p>
      <w:pPr>
        <w:pStyle w:val="6"/>
        <w:rPr>
          <w:rFonts w:hint="eastAsia" w:ascii="黑体" w:hAnsi="黑体" w:eastAsia="黑体" w:cs="黑体"/>
          <w:sz w:val="21"/>
          <w:szCs w:val="21"/>
          <w:highlight w:val="none"/>
          <w:lang w:val="en-US" w:eastAsia="zh-CN"/>
        </w:rPr>
      </w:pPr>
    </w:p>
    <w:p>
      <w:pPr>
        <w:pStyle w:val="6"/>
        <w:rPr>
          <w:rFonts w:hint="eastAsia" w:ascii="黑体" w:hAnsi="黑体" w:eastAsia="黑体" w:cs="黑体"/>
          <w:sz w:val="21"/>
          <w:szCs w:val="21"/>
          <w:highlight w:val="none"/>
          <w:lang w:val="en-US" w:eastAsia="zh-CN"/>
        </w:rPr>
      </w:pPr>
    </w:p>
    <w:p>
      <w:pPr>
        <w:pStyle w:val="6"/>
        <w:rPr>
          <w:rFonts w:hint="eastAsia" w:ascii="黑体" w:hAnsi="黑体" w:eastAsia="黑体" w:cs="黑体"/>
          <w:sz w:val="21"/>
          <w:szCs w:val="21"/>
          <w:highlight w:val="none"/>
          <w:lang w:val="en-US" w:eastAsia="zh-CN"/>
        </w:rPr>
      </w:pPr>
    </w:p>
    <w:p>
      <w:pPr>
        <w:pStyle w:val="6"/>
        <w:rPr>
          <w:rFonts w:hint="eastAsia" w:ascii="黑体" w:hAnsi="黑体" w:eastAsia="黑体" w:cs="黑体"/>
          <w:sz w:val="21"/>
          <w:szCs w:val="21"/>
          <w:highlight w:val="none"/>
          <w:lang w:val="en-US" w:eastAsia="zh-CN"/>
        </w:rPr>
      </w:pPr>
    </w:p>
    <w:p>
      <w:pPr>
        <w:pStyle w:val="3"/>
        <w:numPr>
          <w:ilvl w:val="0"/>
          <w:numId w:val="0"/>
        </w:numPr>
        <w:spacing w:before="0" w:after="0" w:line="360" w:lineRule="auto"/>
        <w:ind w:leftChars="0"/>
        <w:rPr>
          <w:rFonts w:hint="eastAsia" w:ascii="宋体" w:hAnsi="宋体" w:eastAsia="宋体" w:cs="Arial"/>
          <w:color w:val="000000"/>
          <w:sz w:val="32"/>
          <w:highlight w:val="none"/>
          <w:lang w:val="en-US" w:eastAsia="zh-CN"/>
        </w:rPr>
      </w:pPr>
      <w:r>
        <w:rPr>
          <w:rFonts w:hint="eastAsia" w:ascii="宋体" w:hAnsi="宋体" w:eastAsia="宋体" w:cs="Arial"/>
          <w:color w:val="000000"/>
          <w:sz w:val="32"/>
          <w:highlight w:val="none"/>
          <w:lang w:val="en-US" w:eastAsia="zh-CN"/>
        </w:rPr>
        <w:t>附件1                   评审规则</w:t>
      </w:r>
    </w:p>
    <w:p>
      <w:pPr>
        <w:pStyle w:val="6"/>
        <w:rPr>
          <w:rFonts w:hint="default"/>
          <w:highlight w:val="none"/>
          <w:lang w:val="en-US" w:eastAsia="zh-CN"/>
        </w:rPr>
      </w:pPr>
    </w:p>
    <w:p>
      <w:pPr>
        <w:numPr>
          <w:ilvl w:val="0"/>
          <w:numId w:val="3"/>
        </w:numPr>
        <w:rPr>
          <w:rFonts w:hint="eastAsia" w:ascii="Times New Roman" w:hAnsi="Times New Roman" w:eastAsia="宋体" w:cs="Times New Roman"/>
          <w:color w:val="000000"/>
          <w:highlight w:val="none"/>
        </w:rPr>
      </w:pPr>
      <w:r>
        <w:rPr>
          <w:rFonts w:hint="eastAsia"/>
          <w:b/>
          <w:color w:val="000000"/>
          <w:highlight w:val="none"/>
        </w:rPr>
        <w:t>评标方法</w:t>
      </w:r>
      <w:r>
        <w:rPr>
          <w:rFonts w:hint="eastAsia"/>
          <w:b/>
          <w:bCs/>
          <w:color w:val="000000"/>
          <w:highlight w:val="none"/>
        </w:rPr>
        <w:t>：</w:t>
      </w:r>
      <w:r>
        <w:rPr>
          <w:rFonts w:hint="eastAsia"/>
          <w:color w:val="000000"/>
          <w:highlight w:val="none"/>
        </w:rPr>
        <w:t xml:space="preserve"> </w:t>
      </w:r>
      <w:r>
        <w:rPr>
          <w:rFonts w:hint="eastAsia" w:ascii="Times New Roman" w:hAnsi="Times New Roman" w:eastAsia="宋体" w:cs="Times New Roman"/>
          <w:color w:val="000000"/>
          <w:highlight w:val="none"/>
        </w:rPr>
        <w:t>综合评分法。</w:t>
      </w:r>
    </w:p>
    <w:p>
      <w:pPr>
        <w:numPr>
          <w:ilvl w:val="0"/>
          <w:numId w:val="3"/>
        </w:numPr>
        <w:rPr>
          <w:rFonts w:hint="eastAsia"/>
          <w:b/>
          <w:bCs/>
          <w:color w:val="000000"/>
          <w:highlight w:val="none"/>
        </w:rPr>
      </w:pPr>
      <w:r>
        <w:rPr>
          <w:rFonts w:hint="eastAsia"/>
          <w:b/>
          <w:bCs/>
          <w:color w:val="000000"/>
          <w:highlight w:val="none"/>
        </w:rPr>
        <w:t>评标标准</w:t>
      </w:r>
    </w:p>
    <w:p>
      <w:pPr>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（1）投标文件满足招标文件全部实质性要求，且按照评审因素的量化指标评审得分（即评标总得分）最高的投标人为中标候选人。</w:t>
      </w:r>
    </w:p>
    <w:p>
      <w:pPr>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widowControl/>
        <w:spacing w:before="100" w:beforeAutospacing="1" w:after="100" w:afterAutospacing="1"/>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（3）各项评审因素的设置如下：</w:t>
      </w:r>
    </w:p>
    <w:p>
      <w:pPr>
        <w:widowControl/>
        <w:spacing w:before="100" w:beforeAutospacing="1" w:after="100" w:afterAutospacing="1"/>
        <w:ind w:firstLine="480"/>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①价格项（F1×A1）满分为</w:t>
      </w:r>
      <w:r>
        <w:rPr>
          <w:rFonts w:hint="eastAsia" w:ascii="宋体" w:hAnsi="宋体" w:cs="宋体"/>
          <w:b/>
          <w:bCs/>
          <w:kern w:val="0"/>
          <w:sz w:val="24"/>
          <w:szCs w:val="24"/>
          <w:highlight w:val="none"/>
          <w:lang w:val="en-US" w:eastAsia="zh-CN"/>
        </w:rPr>
        <w:t>30</w:t>
      </w:r>
      <w:r>
        <w:rPr>
          <w:rFonts w:hint="eastAsia" w:ascii="宋体" w:hAnsi="宋体" w:eastAsia="宋体" w:cs="宋体"/>
          <w:b/>
          <w:bCs/>
          <w:kern w:val="0"/>
          <w:sz w:val="24"/>
          <w:szCs w:val="24"/>
          <w:highlight w:val="none"/>
        </w:rPr>
        <w:t>分。</w:t>
      </w:r>
    </w:p>
    <w:p>
      <w:pPr>
        <w:widowControl/>
        <w:spacing w:before="100" w:beforeAutospacing="1" w:after="100" w:afterAutospacing="1"/>
        <w:ind w:firstLine="48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a.价格分采用低价优先法计算，即满足招标文件要求且投标价格最低的投标报价为评标基准价，其价格分为满分。其他投标人的价格分统一按照下列公式计算：投标报价得分</w:t>
      </w:r>
      <w:r>
        <w:rPr>
          <w:rFonts w:ascii="Calibri" w:hAnsi="Calibri" w:eastAsia="宋体" w:cs="Calibri"/>
          <w:kern w:val="0"/>
          <w:sz w:val="24"/>
          <w:szCs w:val="24"/>
          <w:highlight w:val="none"/>
        </w:rPr>
        <w:t>=</w:t>
      </w:r>
      <w:r>
        <w:rPr>
          <w:rFonts w:hint="eastAsia" w:ascii="宋体" w:hAnsi="宋体" w:eastAsia="宋体" w:cs="宋体"/>
          <w:kern w:val="0"/>
          <w:sz w:val="24"/>
          <w:szCs w:val="24"/>
          <w:highlight w:val="none"/>
        </w:rPr>
        <w:t>（评标基准价／投标报价）×</w:t>
      </w:r>
      <w:r>
        <w:rPr>
          <w:rFonts w:ascii="Calibri" w:hAnsi="Calibri" w:eastAsia="宋体" w:cs="Calibri"/>
          <w:kern w:val="0"/>
          <w:sz w:val="24"/>
          <w:szCs w:val="24"/>
          <w:highlight w:val="none"/>
        </w:rPr>
        <w:t>100</w:t>
      </w:r>
      <w:r>
        <w:rPr>
          <w:rFonts w:hint="eastAsia" w:ascii="宋体" w:hAnsi="宋体" w:eastAsia="宋体" w:cs="宋体"/>
          <w:kern w:val="0"/>
          <w:sz w:val="24"/>
          <w:szCs w:val="24"/>
          <w:highlight w:val="none"/>
        </w:rPr>
        <w:t>。因落实政府采购政策需进行价格扣除的，以扣除后的价格计算评标基准价和投标报价。</w:t>
      </w:r>
    </w:p>
    <w:p>
      <w:pPr>
        <w:widowControl/>
        <w:spacing w:before="100" w:beforeAutospacing="1" w:after="100" w:afterAutospacing="1"/>
        <w:ind w:firstLine="480"/>
        <w:jc w:val="left"/>
        <w:rPr>
          <w:rFonts w:ascii="宋体" w:hAnsi="宋体" w:eastAsia="宋体" w:cs="宋体"/>
          <w:kern w:val="0"/>
          <w:sz w:val="24"/>
          <w:szCs w:val="24"/>
          <w:highlight w:val="none"/>
        </w:rPr>
      </w:pPr>
      <w:r>
        <w:rPr>
          <w:rFonts w:ascii="Calibri" w:hAnsi="Calibri" w:eastAsia="宋体" w:cs="Calibri"/>
          <w:kern w:val="0"/>
          <w:sz w:val="24"/>
          <w:szCs w:val="24"/>
          <w:highlight w:val="none"/>
        </w:rPr>
        <w:t>b.</w:t>
      </w:r>
      <w:r>
        <w:rPr>
          <w:rFonts w:hint="eastAsia" w:ascii="宋体" w:hAnsi="宋体" w:eastAsia="宋体" w:cs="宋体"/>
          <w:kern w:val="0"/>
          <w:sz w:val="24"/>
          <w:szCs w:val="24"/>
          <w:highlight w:val="none"/>
        </w:rPr>
        <w:t>价格扣除的规则如下：</w:t>
      </w:r>
    </w:p>
    <w:tbl>
      <w:tblPr>
        <w:tblStyle w:val="14"/>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93"/>
        <w:gridCol w:w="714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Header/>
          <w:tblCellSpacing w:w="0" w:type="dxa"/>
        </w:trPr>
        <w:tc>
          <w:tcPr>
            <w:tcW w:w="119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eastAsia="宋体" w:cs="宋体"/>
                <w:kern w:val="0"/>
                <w:sz w:val="24"/>
                <w:szCs w:val="24"/>
                <w:highlight w:val="none"/>
              </w:rPr>
            </w:pPr>
            <w:r>
              <w:rPr>
                <w:rFonts w:ascii="宋体" w:hAnsi="宋体" w:eastAsia="宋体" w:cs="宋体"/>
                <w:kern w:val="0"/>
                <w:sz w:val="24"/>
                <w:szCs w:val="24"/>
                <w:highlight w:val="none"/>
              </w:rPr>
              <w:t>评标项目</w:t>
            </w:r>
          </w:p>
        </w:tc>
        <w:tc>
          <w:tcPr>
            <w:tcW w:w="714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eastAsia="宋体" w:cs="宋体"/>
                <w:kern w:val="0"/>
                <w:sz w:val="24"/>
                <w:szCs w:val="24"/>
                <w:highlight w:val="none"/>
              </w:rPr>
            </w:pPr>
            <w:r>
              <w:rPr>
                <w:rFonts w:ascii="宋体" w:hAnsi="宋体" w:eastAsia="宋体" w:cs="宋体"/>
                <w:kern w:val="0"/>
                <w:sz w:val="24"/>
                <w:szCs w:val="24"/>
                <w:highlight w:val="none"/>
              </w:rPr>
              <w:t>评标方法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9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eastAsia="宋体" w:cs="宋体"/>
                <w:kern w:val="0"/>
                <w:sz w:val="24"/>
                <w:szCs w:val="24"/>
                <w:highlight w:val="none"/>
              </w:rPr>
            </w:pPr>
            <w:r>
              <w:rPr>
                <w:rFonts w:ascii="宋体" w:hAnsi="宋体" w:eastAsia="宋体" w:cs="宋体"/>
                <w:kern w:val="0"/>
                <w:sz w:val="24"/>
                <w:szCs w:val="24"/>
                <w:highlight w:val="none"/>
              </w:rPr>
              <w:t>小型、微型企业，监狱企业，残疾人</w:t>
            </w:r>
          </w:p>
        </w:tc>
        <w:tc>
          <w:tcPr>
            <w:tcW w:w="714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eastAsia="宋体" w:cs="宋体"/>
                <w:kern w:val="0"/>
                <w:sz w:val="24"/>
                <w:szCs w:val="24"/>
                <w:highlight w:val="none"/>
              </w:rPr>
            </w:pPr>
            <w:r>
              <w:rPr>
                <w:rFonts w:ascii="宋体" w:hAnsi="宋体" w:eastAsia="宋体" w:cs="宋体"/>
                <w:b/>
                <w:bCs/>
                <w:kern w:val="0"/>
                <w:sz w:val="24"/>
                <w:szCs w:val="24"/>
                <w:highlight w:val="none"/>
              </w:rPr>
              <w:t>1、对小、微企业报价给予 6%的扣除。 2、联合协议或分包意向协议约定小微企业的合同份额占到合同总金额 30%以上的，对联合体或者大中型企业的报价给予 2%的扣除。 3、监狱企业视同上述中小企业享受政府采购扶持政策。 4、残疾人福利性单位提供本单位制造的货物、承担的工程或服务，或提供其他残疾人福利性单位制造的货物（不包括使用非残疾人福利性单位注册商标的货物），对报价给予 10%的扣除。</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9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eastAsia="宋体" w:cs="宋体"/>
                <w:kern w:val="0"/>
                <w:sz w:val="24"/>
                <w:szCs w:val="24"/>
                <w:highlight w:val="none"/>
              </w:rPr>
            </w:pPr>
            <w:r>
              <w:rPr>
                <w:rFonts w:ascii="宋体" w:hAnsi="宋体" w:eastAsia="宋体" w:cs="宋体"/>
                <w:kern w:val="0"/>
                <w:sz w:val="24"/>
                <w:szCs w:val="24"/>
                <w:highlight w:val="none"/>
              </w:rPr>
              <w:t>节能产品</w:t>
            </w:r>
          </w:p>
        </w:tc>
        <w:tc>
          <w:tcPr>
            <w:tcW w:w="714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eastAsia="宋体" w:cs="宋体"/>
                <w:kern w:val="0"/>
                <w:sz w:val="24"/>
                <w:szCs w:val="24"/>
                <w:highlight w:val="none"/>
              </w:rPr>
            </w:pPr>
            <w:r>
              <w:rPr>
                <w:rFonts w:ascii="宋体" w:hAnsi="宋体" w:eastAsia="宋体" w:cs="宋体"/>
                <w:b/>
                <w:bCs/>
                <w:kern w:val="0"/>
                <w:sz w:val="24"/>
                <w:szCs w:val="24"/>
                <w:highlight w:val="none"/>
              </w:rPr>
              <w:t>若同一合同包内节能、环境标志产品报价总金额低于本合同包报价总金额10%（含10%）以下，将给予节能、环境标志产品每个单项报价3%的价格扣除；若同一合同包内节能、环境标志产品报价总金额占本合同包报价总金额10%-30%（含30%），将给予节能、环境标志产品每个单项报价6%的价格扣除；若同一合同包内节能、环境标志产品报价总金额占本合同包报价总金额30%-50%（含50%），将给予节能、环境标志产品每个单项报价8%的价格扣除；若同一合同包内节能、环境标志产品报价总金额超过本合同包报价总金额50%以上，将给予节能、环境标志产品每个单项报价10%的价格扣除。</w:t>
            </w:r>
          </w:p>
        </w:tc>
      </w:tr>
    </w:tbl>
    <w:p>
      <w:pPr>
        <w:rPr>
          <w:rFonts w:hint="eastAsia"/>
          <w:b/>
          <w:bCs/>
          <w:color w:val="000000"/>
          <w:highlight w:val="none"/>
        </w:rPr>
      </w:pPr>
    </w:p>
    <w:p>
      <w:pPr>
        <w:rPr>
          <w:rFonts w:hint="eastAsia"/>
          <w:b/>
          <w:bCs/>
          <w:color w:val="000000"/>
          <w:highlight w:val="none"/>
        </w:rPr>
      </w:pPr>
    </w:p>
    <w:p>
      <w:pPr>
        <w:rPr>
          <w:rFonts w:hint="eastAsia"/>
          <w:b/>
          <w:bCs/>
          <w:color w:val="000000"/>
          <w:highlight w:val="none"/>
        </w:rPr>
      </w:pPr>
    </w:p>
    <w:p>
      <w:pPr>
        <w:widowControl/>
        <w:spacing w:before="100" w:beforeAutospacing="1" w:after="100" w:afterAutospacing="1"/>
        <w:ind w:firstLine="480"/>
        <w:jc w:val="lef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②技术项（</w:t>
      </w:r>
      <w:r>
        <w:rPr>
          <w:rFonts w:ascii="Calibri" w:hAnsi="Calibri" w:eastAsia="宋体" w:cs="Calibri"/>
          <w:b/>
          <w:bCs/>
          <w:kern w:val="0"/>
          <w:sz w:val="24"/>
          <w:szCs w:val="24"/>
          <w:highlight w:val="none"/>
        </w:rPr>
        <w:t>F2</w:t>
      </w:r>
      <w:r>
        <w:rPr>
          <w:rFonts w:hint="eastAsia" w:ascii="宋体" w:hAnsi="宋体" w:eastAsia="宋体" w:cs="宋体"/>
          <w:b/>
          <w:bCs/>
          <w:kern w:val="0"/>
          <w:sz w:val="24"/>
          <w:szCs w:val="24"/>
          <w:highlight w:val="none"/>
        </w:rPr>
        <w:t>×</w:t>
      </w:r>
      <w:r>
        <w:rPr>
          <w:rFonts w:ascii="Calibri" w:hAnsi="Calibri" w:eastAsia="宋体" w:cs="Calibri"/>
          <w:b/>
          <w:bCs/>
          <w:kern w:val="0"/>
          <w:sz w:val="24"/>
          <w:szCs w:val="24"/>
          <w:highlight w:val="none"/>
        </w:rPr>
        <w:t>A2</w:t>
      </w:r>
      <w:r>
        <w:rPr>
          <w:rFonts w:hint="eastAsia" w:ascii="宋体" w:hAnsi="宋体" w:eastAsia="宋体" w:cs="宋体"/>
          <w:b/>
          <w:bCs/>
          <w:kern w:val="0"/>
          <w:sz w:val="24"/>
          <w:szCs w:val="24"/>
          <w:highlight w:val="none"/>
        </w:rPr>
        <w:t>）满分为</w:t>
      </w:r>
      <w:r>
        <w:rPr>
          <w:rFonts w:hint="eastAsia" w:ascii="宋体" w:hAnsi="宋体" w:eastAsia="宋体" w:cs="宋体"/>
          <w:b/>
          <w:bCs/>
          <w:kern w:val="0"/>
          <w:sz w:val="24"/>
          <w:szCs w:val="24"/>
          <w:highlight w:val="none"/>
          <w:u w:val="single"/>
          <w:lang w:val="en-US" w:eastAsia="zh-CN"/>
        </w:rPr>
        <w:t>6</w:t>
      </w:r>
      <w:r>
        <w:rPr>
          <w:rFonts w:hint="eastAsia" w:ascii="宋体" w:hAnsi="宋体" w:cs="宋体"/>
          <w:b/>
          <w:bCs/>
          <w:kern w:val="0"/>
          <w:sz w:val="24"/>
          <w:szCs w:val="24"/>
          <w:highlight w:val="none"/>
          <w:u w:val="single"/>
          <w:lang w:val="en-US" w:eastAsia="zh-CN"/>
        </w:rPr>
        <w:t>0</w:t>
      </w:r>
      <w:r>
        <w:rPr>
          <w:rFonts w:hint="eastAsia" w:ascii="宋体" w:hAnsi="宋体" w:eastAsia="宋体" w:cs="宋体"/>
          <w:b/>
          <w:bCs/>
          <w:kern w:val="0"/>
          <w:sz w:val="24"/>
          <w:szCs w:val="24"/>
          <w:highlight w:val="none"/>
        </w:rPr>
        <w:t>分。</w:t>
      </w:r>
    </w:p>
    <w:tbl>
      <w:tblPr>
        <w:tblStyle w:val="14"/>
        <w:tblW w:w="83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456"/>
        <w:gridCol w:w="71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评标项目</w:t>
            </w:r>
          </w:p>
        </w:tc>
        <w:tc>
          <w:tcPr>
            <w:tcW w:w="45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评标分值</w:t>
            </w:r>
          </w:p>
        </w:tc>
        <w:tc>
          <w:tcPr>
            <w:tcW w:w="718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评标方法描述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1.技术和服务要求响应情况</w:t>
            </w:r>
          </w:p>
        </w:tc>
        <w:tc>
          <w:tcPr>
            <w:tcW w:w="4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1"/>
                <w:szCs w:val="21"/>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45</w:t>
            </w:r>
          </w:p>
        </w:tc>
        <w:tc>
          <w:tcPr>
            <w:tcW w:w="71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由评委根据投标人的投标文件对“第五章招标内容及要求-</w:t>
            </w:r>
            <w:r>
              <w:rPr>
                <w:rFonts w:hint="eastAsia" w:ascii="宋体" w:hAnsi="宋体" w:cs="宋体"/>
                <w:color w:val="auto"/>
                <w:kern w:val="0"/>
                <w:sz w:val="24"/>
                <w:highlight w:val="none"/>
                <w:lang w:bidi="ar"/>
              </w:rPr>
              <w:t>二、技术和服务要求</w:t>
            </w:r>
            <w:r>
              <w:rPr>
                <w:rFonts w:hint="eastAsia" w:ascii="宋体" w:hAnsi="宋体" w:eastAsia="宋体" w:cs="宋体"/>
                <w:i w:val="0"/>
                <w:iCs w:val="0"/>
                <w:color w:val="000000"/>
                <w:kern w:val="0"/>
                <w:sz w:val="24"/>
                <w:szCs w:val="24"/>
                <w:highlight w:val="none"/>
                <w:u w:val="none"/>
                <w:lang w:val="en-US" w:eastAsia="zh-CN" w:bidi="ar"/>
              </w:rPr>
              <w:t>”中逐项应标情况是否偏离进行评议和打分，投标人全部响应各项技术服务要求的得满分；技术要求，</w:t>
            </w:r>
            <w:r>
              <w:rPr>
                <w:rFonts w:hint="eastAsia" w:ascii="宋体" w:hAnsi="宋体" w:eastAsia="宋体" w:cs="宋体"/>
                <w:color w:val="000000"/>
                <w:kern w:val="0"/>
                <w:sz w:val="24"/>
                <w:szCs w:val="24"/>
                <w:highlight w:val="none"/>
                <w:lang w:val="en-US" w:eastAsia="zh-CN" w:bidi="ar"/>
              </w:rPr>
              <w:t>带</w:t>
            </w:r>
            <w:r>
              <w:rPr>
                <w:rFonts w:hint="eastAsia" w:ascii="宋体" w:hAnsi="宋体" w:eastAsia="宋体" w:cs="宋体"/>
                <w:color w:val="000000"/>
                <w:kern w:val="0"/>
                <w:sz w:val="21"/>
                <w:szCs w:val="21"/>
                <w:highlight w:val="none"/>
                <w:lang w:val="en-US" w:eastAsia="zh-CN" w:bidi="ar"/>
              </w:rPr>
              <w:t>▲</w:t>
            </w:r>
            <w:r>
              <w:rPr>
                <w:rFonts w:hint="eastAsia" w:ascii="宋体" w:hAnsi="宋体" w:eastAsia="宋体" w:cs="宋体"/>
                <w:color w:val="000000"/>
                <w:kern w:val="0"/>
                <w:sz w:val="24"/>
                <w:szCs w:val="24"/>
                <w:highlight w:val="none"/>
                <w:lang w:val="en-US" w:eastAsia="zh-CN" w:bidi="ar"/>
              </w:rPr>
              <w:t>号的技术参数及功能要求为重要技术指标，每有一项不满足的扣 2 分，共16分（共8项）；非</w:t>
            </w:r>
            <w:r>
              <w:rPr>
                <w:rFonts w:hint="eastAsia" w:ascii="宋体" w:hAnsi="宋体" w:eastAsia="宋体" w:cs="宋体"/>
                <w:color w:val="000000"/>
                <w:kern w:val="0"/>
                <w:sz w:val="21"/>
                <w:szCs w:val="21"/>
                <w:highlight w:val="none"/>
                <w:lang w:val="en-US" w:eastAsia="zh-CN" w:bidi="ar"/>
              </w:rPr>
              <w:t>▲</w:t>
            </w:r>
            <w:r>
              <w:rPr>
                <w:rFonts w:hint="eastAsia" w:ascii="宋体" w:hAnsi="宋体" w:eastAsia="宋体" w:cs="宋体"/>
                <w:color w:val="000000"/>
                <w:kern w:val="0"/>
                <w:sz w:val="24"/>
                <w:szCs w:val="24"/>
                <w:highlight w:val="none"/>
                <w:lang w:val="en-US" w:eastAsia="zh-CN" w:bidi="ar"/>
              </w:rPr>
              <w:t>号的技术参数及功能要求每有一项不满足的扣0.56分，共29分（共52项）；扣完为止。</w:t>
            </w:r>
          </w:p>
          <w:p>
            <w:pPr>
              <w:keepNext w:val="0"/>
              <w:keepLines w:val="0"/>
              <w:widowControl/>
              <w:suppressLineNumbers w:val="0"/>
              <w:jc w:val="left"/>
              <w:rPr>
                <w:rFonts w:hint="eastAsia" w:ascii="宋体" w:hAnsi="宋体" w:eastAsia="宋体" w:cs="宋体"/>
                <w:i w:val="0"/>
                <w:iCs w:val="0"/>
                <w:color w:val="000000"/>
                <w:sz w:val="24"/>
                <w:szCs w:val="24"/>
                <w:highlight w:val="none"/>
                <w:u w:val="none"/>
              </w:rPr>
            </w:pPr>
            <w:r>
              <w:rPr>
                <w:rFonts w:hint="eastAsia"/>
                <w:sz w:val="24"/>
                <w:szCs w:val="24"/>
                <w:highlight w:val="none"/>
              </w:rPr>
              <w:t>注：凡标有“指标项”即为一项技术条款，无论是否隶属于原有的技术参数序号，每个标有“指标项”中参数出现负偏离的，无论其中偏离几项，均视为该指标项对应的参数负偏离，按照一项负偏离对应分值进行扣分，投标人须按照本文件所列的所有技术要求如实地填写逐项响应，并列出偏离情况；因编排错乱或响应不完整而导致的不利评审由投标人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10" w:hRule="atLeast"/>
        </w:trPr>
        <w:tc>
          <w:tcPr>
            <w:tcW w:w="6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cs="宋体" w:eastAsiaTheme="minorEastAsia"/>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.实施方案</w:t>
            </w:r>
          </w:p>
        </w:tc>
        <w:tc>
          <w:tcPr>
            <w:tcW w:w="4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eastAsiaTheme="minorEastAsia"/>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p>
        </w:tc>
        <w:tc>
          <w:tcPr>
            <w:tcW w:w="718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根据投标人针对本项目的具体实施方案进行打分。</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1.项目实施方案内容完善，合理性及针对性强，能够保证本项目顺利实施，得3分；</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2.项目实施方案内容较完善，合理性及针对性较强，能够保证本项目顺利实施，得2分；</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3.项目实施方案内容完善度较低，合理性及针对性较弱，得1分；</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sz w:val="24"/>
                <w:szCs w:val="24"/>
                <w:highlight w:val="none"/>
                <w:u w:val="none"/>
              </w:rPr>
              <w:t>4.未提供实施方案则本项不得分。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96"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3.现场演示（总时长不超过15分钟）</w:t>
            </w: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7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3.1 VR一体机虚拟现实实训终端内置Control panel工具软件，通过可视化界面操作，使用者可快速、便捷地对桌面一体机进行硬件及环境检测、功能验证、故障自动修复、故障排查等工作。含五个模块，分别为：本机接线图（可查看机器侧面和背面硬件接口示意图）、系统信息查看（可实时检测系统信息、设备信息、服务状态、屏幕信息、电源等信息）、立体效果测试（可佩戴 3D 眼镜查看模型显示的立体效果是否正常）、空间定位笔查看（可实时查看定位笔的连接状态、姿态数据是否正常，按键功能是否正常，可调节测试震动强度等）、追踪系统测试（可实时确认追踪系统功能调用是否正常；将追踪眼镜置入追踪范围内可检测追踪状态及眼镜空间坐标值的变化是否正常；连接上定位笔，将定位笔置入追踪范围内可检测追踪状态及定位笔空间坐标值、旋转值的变化是否正常）。</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bidi="ar"/>
              </w:rPr>
              <w:t>要求现场</w:t>
            </w:r>
            <w:r>
              <w:rPr>
                <w:rFonts w:ascii="宋体" w:hAnsi="宋体" w:eastAsia="宋体" w:cs="宋体"/>
                <w:color w:val="auto"/>
                <w:kern w:val="0"/>
                <w:sz w:val="24"/>
                <w:szCs w:val="24"/>
                <w:highlight w:val="none"/>
                <w:lang w:val="en-US" w:eastAsia="zh-CN" w:bidi="ar"/>
              </w:rPr>
              <w:t>演示，</w:t>
            </w:r>
            <w:r>
              <w:rPr>
                <w:rFonts w:hint="eastAsia" w:ascii="宋体" w:hAnsi="宋体" w:eastAsia="宋体" w:cs="宋体"/>
                <w:color w:val="auto"/>
                <w:kern w:val="0"/>
                <w:sz w:val="24"/>
                <w:szCs w:val="24"/>
                <w:highlight w:val="none"/>
                <w:lang w:val="en-US" w:eastAsia="zh-CN" w:bidi="ar"/>
              </w:rPr>
              <w:t>全部满足</w:t>
            </w:r>
            <w:r>
              <w:rPr>
                <w:rFonts w:ascii="宋体" w:hAnsi="宋体" w:eastAsia="宋体" w:cs="宋体"/>
                <w:color w:val="auto"/>
                <w:kern w:val="0"/>
                <w:sz w:val="24"/>
                <w:szCs w:val="24"/>
                <w:highlight w:val="none"/>
                <w:lang w:val="en-US" w:eastAsia="zh-CN" w:bidi="ar"/>
              </w:rPr>
              <w:t>得</w:t>
            </w:r>
            <w:r>
              <w:rPr>
                <w:rFonts w:hint="eastAsia" w:ascii="宋体" w:hAnsi="宋体" w:eastAsia="宋体" w:cs="宋体"/>
                <w:color w:val="auto"/>
                <w:kern w:val="0"/>
                <w:sz w:val="24"/>
                <w:szCs w:val="24"/>
                <w:highlight w:val="none"/>
                <w:lang w:val="en-US" w:eastAsia="zh-CN" w:bidi="ar"/>
              </w:rPr>
              <w:t>3</w:t>
            </w:r>
            <w:r>
              <w:rPr>
                <w:rFonts w:ascii="宋体" w:hAnsi="宋体" w:eastAsia="宋体" w:cs="宋体"/>
                <w:color w:val="auto"/>
                <w:kern w:val="0"/>
                <w:sz w:val="24"/>
                <w:szCs w:val="24"/>
                <w:highlight w:val="none"/>
                <w:lang w:val="en-US" w:eastAsia="zh-CN" w:bidi="ar"/>
              </w:rPr>
              <w:t>分</w:t>
            </w:r>
            <w:r>
              <w:rPr>
                <w:rFonts w:hint="eastAsia" w:ascii="宋体" w:hAnsi="宋体" w:eastAsia="宋体" w:cs="宋体"/>
                <w:color w:val="auto"/>
                <w:kern w:val="0"/>
                <w:sz w:val="24"/>
                <w:szCs w:val="24"/>
                <w:highlight w:val="none"/>
                <w:lang w:val="en-US" w:eastAsia="zh-CN" w:bidi="ar"/>
              </w:rPr>
              <w:t>，部分满足或未提供演示</w:t>
            </w:r>
            <w:r>
              <w:rPr>
                <w:rFonts w:ascii="宋体" w:hAnsi="宋体" w:eastAsia="宋体" w:cs="宋体"/>
                <w:color w:val="auto"/>
                <w:kern w:val="0"/>
                <w:sz w:val="24"/>
                <w:szCs w:val="24"/>
                <w:highlight w:val="none"/>
                <w:lang w:val="en-US" w:eastAsia="zh-CN" w:bidi="ar"/>
              </w:rPr>
              <w:t>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20" w:hRule="atLeast"/>
        </w:trPr>
        <w:tc>
          <w:tcPr>
            <w:tcW w:w="696" w:type="dxa"/>
            <w:vMerge w:val="continue"/>
            <w:tcBorders>
              <w:left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71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4"/>
                <w:highlight w:val="none"/>
                <w:lang w:bidi="ar"/>
              </w:rPr>
            </w:pPr>
            <w:r>
              <w:rPr>
                <w:rFonts w:hint="eastAsia" w:ascii="宋体" w:hAnsi="宋体" w:eastAsia="宋体" w:cs="宋体"/>
                <w:kern w:val="0"/>
                <w:sz w:val="24"/>
                <w:highlight w:val="none"/>
                <w:lang w:val="en-US" w:eastAsia="zh-CN" w:bidi="ar"/>
              </w:rPr>
              <w:t>3</w:t>
            </w:r>
            <w:r>
              <w:rPr>
                <w:rFonts w:hint="eastAsia" w:ascii="宋体" w:hAnsi="宋体" w:eastAsia="宋体" w:cs="宋体"/>
                <w:kern w:val="0"/>
                <w:sz w:val="24"/>
                <w:highlight w:val="none"/>
                <w:lang w:bidi="ar"/>
              </w:rPr>
              <w:t>.2 VR一体机功能验证演示</w:t>
            </w:r>
          </w:p>
          <w:p>
            <w:pPr>
              <w:widowControl/>
              <w:rPr>
                <w:rFonts w:ascii="仿宋" w:hAnsi="仿宋" w:cs="宋体"/>
                <w:color w:val="000000"/>
                <w:kern w:val="0"/>
                <w:sz w:val="24"/>
                <w:highlight w:val="none"/>
              </w:rPr>
            </w:pPr>
            <w:r>
              <w:rPr>
                <w:rFonts w:hint="eastAsia" w:ascii="仿宋" w:hAnsi="仿宋" w:cs="宋体"/>
                <w:color w:val="000000"/>
                <w:kern w:val="0"/>
                <w:sz w:val="24"/>
                <w:highlight w:val="none"/>
              </w:rPr>
              <w:t>配套VR功能验证模型类和流程类软件，以VR模型和交互操作为核心，演示验证交互操作，并通过交互操作加深用户的直观体验。</w:t>
            </w:r>
          </w:p>
          <w:p>
            <w:pPr>
              <w:widowControl/>
              <w:rPr>
                <w:rFonts w:ascii="仿宋" w:hAnsi="仿宋" w:cs="宋体"/>
                <w:color w:val="000000"/>
                <w:kern w:val="0"/>
                <w:sz w:val="24"/>
                <w:highlight w:val="none"/>
              </w:rPr>
            </w:pPr>
            <w:r>
              <w:rPr>
                <w:rFonts w:hint="eastAsia" w:ascii="仿宋" w:hAnsi="仿宋" w:cs="宋体"/>
                <w:color w:val="000000"/>
                <w:kern w:val="0"/>
                <w:sz w:val="24"/>
                <w:highlight w:val="none"/>
              </w:rPr>
              <w:t>（1）活动场景：利用VR一体机的特点，用户可以感受丰富多彩的物体近在眼前的效果 ，还可以抓起活动的物体，并360观察它的形态和动作。</w:t>
            </w:r>
          </w:p>
          <w:p>
            <w:pPr>
              <w:widowControl/>
              <w:rPr>
                <w:rFonts w:ascii="仿宋" w:hAnsi="仿宋" w:cs="宋体"/>
                <w:color w:val="000000"/>
                <w:kern w:val="0"/>
                <w:sz w:val="24"/>
                <w:highlight w:val="none"/>
              </w:rPr>
            </w:pPr>
            <w:r>
              <w:rPr>
                <w:rFonts w:hint="eastAsia" w:ascii="仿宋" w:hAnsi="仿宋" w:cs="宋体"/>
                <w:color w:val="000000"/>
                <w:kern w:val="0"/>
                <w:sz w:val="24"/>
                <w:highlight w:val="none"/>
              </w:rPr>
              <w:t>（2）结构探索：利用VR一体机的特点，探索模块包含某一个剖面的整体及分层展示两部分，整体模型上均标注序号，点击序号可旋转视角到指定结构，并显示对应的结构名称和注释。剖面结构可分层展开，所有分开展示的剖面模型均可自由拖动旋转缩放，并且选中任一模型，均显示对应结构名称及结构注释。</w:t>
            </w:r>
          </w:p>
          <w:p>
            <w:pPr>
              <w:widowControl/>
              <w:rPr>
                <w:rFonts w:ascii="仿宋" w:hAnsi="仿宋" w:cs="宋体"/>
                <w:color w:val="000000"/>
                <w:kern w:val="0"/>
                <w:sz w:val="24"/>
                <w:highlight w:val="none"/>
              </w:rPr>
            </w:pPr>
            <w:r>
              <w:rPr>
                <w:rFonts w:hint="eastAsia" w:ascii="仿宋" w:hAnsi="仿宋" w:cs="宋体"/>
                <w:color w:val="000000"/>
                <w:kern w:val="0"/>
                <w:sz w:val="24"/>
                <w:highlight w:val="none"/>
              </w:rPr>
              <w:t>（3）结构模型：利用VR一体机的特点，解密模块，展示了三种假想结构模型，并剖面展示了其内部结构。</w:t>
            </w:r>
          </w:p>
          <w:p>
            <w:pPr>
              <w:widowControl/>
              <w:rPr>
                <w:rFonts w:ascii="仿宋" w:hAnsi="仿宋" w:cs="宋体"/>
                <w:color w:val="000000"/>
                <w:kern w:val="0"/>
                <w:sz w:val="24"/>
                <w:highlight w:val="none"/>
              </w:rPr>
            </w:pPr>
            <w:r>
              <w:rPr>
                <w:rFonts w:hint="eastAsia" w:ascii="仿宋" w:hAnsi="仿宋" w:cs="宋体"/>
                <w:color w:val="000000"/>
                <w:kern w:val="0"/>
                <w:sz w:val="24"/>
                <w:highlight w:val="none"/>
              </w:rPr>
              <w:t>（4）传导模型：利用VR一体机的特点，独特树突模块，展示了内部及外部结构，并使用动画及特效展示传导过程，从树突传导到胞体，再传导到轴突的过程。</w:t>
            </w:r>
          </w:p>
          <w:p>
            <w:pPr>
              <w:widowControl/>
              <w:rPr>
                <w:rFonts w:ascii="仿宋" w:hAnsi="仿宋" w:cs="宋体"/>
                <w:color w:val="000000"/>
                <w:kern w:val="0"/>
                <w:sz w:val="24"/>
                <w:highlight w:val="none"/>
              </w:rPr>
            </w:pPr>
            <w:r>
              <w:rPr>
                <w:rFonts w:hint="eastAsia" w:ascii="仿宋" w:hAnsi="仿宋" w:cs="宋体"/>
                <w:color w:val="000000"/>
                <w:kern w:val="0"/>
                <w:sz w:val="24"/>
                <w:highlight w:val="none"/>
              </w:rPr>
              <w:t>（</w:t>
            </w:r>
            <w:r>
              <w:rPr>
                <w:rFonts w:ascii="仿宋" w:hAnsi="仿宋" w:cs="宋体"/>
                <w:color w:val="000000"/>
                <w:kern w:val="0"/>
                <w:sz w:val="24"/>
                <w:highlight w:val="none"/>
              </w:rPr>
              <w:t>5</w:t>
            </w:r>
            <w:r>
              <w:rPr>
                <w:rFonts w:hint="eastAsia" w:ascii="仿宋" w:hAnsi="仿宋" w:cs="宋体"/>
                <w:color w:val="000000"/>
                <w:kern w:val="0"/>
                <w:sz w:val="24"/>
                <w:highlight w:val="none"/>
              </w:rPr>
              <w:t>）突触模型:利用VR一体机的特点，突触模块，展示两个突触的典型结构。</w:t>
            </w:r>
          </w:p>
          <w:p>
            <w:pPr>
              <w:widowControl/>
              <w:rPr>
                <w:rFonts w:ascii="仿宋" w:hAnsi="仿宋" w:cs="宋体"/>
                <w:color w:val="000000"/>
                <w:kern w:val="0"/>
                <w:sz w:val="24"/>
                <w:highlight w:val="none"/>
              </w:rPr>
            </w:pPr>
            <w:r>
              <w:rPr>
                <w:rFonts w:hint="eastAsia" w:ascii="仿宋" w:hAnsi="仿宋" w:cs="宋体"/>
                <w:color w:val="000000"/>
                <w:kern w:val="0"/>
                <w:sz w:val="24"/>
                <w:highlight w:val="none"/>
              </w:rPr>
              <w:t>（6）拆卸流程：以主流的总成进行建模，真实模拟标准拆卸流程；软件提供工具和具体操作的文字图形提示，相应模型操作部位高亮特效提示，真实还原拆卸体验。</w:t>
            </w:r>
          </w:p>
          <w:p>
            <w:pPr>
              <w:widowControl/>
              <w:rPr>
                <w:rFonts w:ascii="仿宋" w:hAnsi="仿宋" w:cs="宋体"/>
                <w:color w:val="000000"/>
                <w:kern w:val="0"/>
                <w:sz w:val="24"/>
                <w:highlight w:val="none"/>
              </w:rPr>
            </w:pPr>
            <w:r>
              <w:rPr>
                <w:rFonts w:hint="eastAsia" w:ascii="仿宋" w:hAnsi="仿宋" w:cs="宋体"/>
                <w:color w:val="000000"/>
                <w:kern w:val="0"/>
                <w:sz w:val="24"/>
                <w:highlight w:val="none"/>
              </w:rPr>
              <w:t>（7）安装流程：需包含臂结构安装、臂结构仿真功能；臂安装需要按正确顺序安装各个臂零部件，完成臂安装后能进行仿真，臂仿真可以控制臂四个轴向运动，通过四轴控制臂机构进行工件搬运仿真。</w:t>
            </w:r>
          </w:p>
          <w:p>
            <w:pPr>
              <w:widowControl/>
              <w:rPr>
                <w:rFonts w:ascii="仿宋" w:hAnsi="仿宋" w:cs="宋体"/>
                <w:color w:val="000000"/>
                <w:kern w:val="0"/>
                <w:sz w:val="24"/>
                <w:highlight w:val="none"/>
              </w:rPr>
            </w:pPr>
            <w:r>
              <w:rPr>
                <w:rFonts w:hint="eastAsia" w:ascii="仿宋" w:hAnsi="仿宋" w:cs="宋体"/>
                <w:color w:val="000000"/>
                <w:kern w:val="0"/>
                <w:sz w:val="24"/>
                <w:highlight w:val="none"/>
              </w:rPr>
              <w:t>（8）连接流程：仿真电路，真实的模拟在实物连接中的各种情况，比如选取1个元件、2个元件、3个或者4个元件连接时，给出各种连接情况下的结果。</w:t>
            </w:r>
          </w:p>
          <w:p>
            <w:pPr>
              <w:pStyle w:val="2"/>
              <w:rPr>
                <w:highlight w:val="none"/>
              </w:rPr>
            </w:pPr>
            <w:r>
              <w:rPr>
                <w:rFonts w:hint="eastAsia" w:ascii="仿宋" w:hAnsi="仿宋" w:cs="宋体"/>
                <w:color w:val="000000"/>
                <w:kern w:val="0"/>
                <w:sz w:val="24"/>
                <w:highlight w:val="none"/>
              </w:rPr>
              <w:t>（9）爆炸展示流程：：机械机构，展现运行和爆炸状态，爆炸后可以随意抓取某个零件进行放大缩小和旋转，并提示零件名称。还原按钮可以让爆炸开的减速机回到初始状态，让用户看到机器的内部结构和运行原理</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kern w:val="0"/>
                <w:sz w:val="24"/>
                <w:highlight w:val="none"/>
                <w:lang w:bidi="ar"/>
              </w:rPr>
              <w:t>要求提供现场演示（不接受录屏演示或者原型演示），以上9点全部满足得3分，满足任意8点得2分，满足任意7点得1分，满足少于3点或未提供演示的不得分。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696" w:type="dxa"/>
            <w:vMerge w:val="continue"/>
            <w:tcBorders>
              <w:left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71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kern w:val="0"/>
                <w:sz w:val="24"/>
                <w:highlight w:val="none"/>
                <w:lang w:bidi="ar"/>
              </w:rPr>
            </w:pPr>
            <w:r>
              <w:rPr>
                <w:rFonts w:hint="eastAsia" w:ascii="宋体" w:hAnsi="宋体" w:eastAsia="宋体" w:cs="宋体"/>
                <w:kern w:val="0"/>
                <w:sz w:val="24"/>
                <w:highlight w:val="none"/>
                <w:lang w:val="en-US" w:eastAsia="zh-CN" w:bidi="ar"/>
              </w:rPr>
              <w:t>3</w:t>
            </w:r>
            <w:r>
              <w:rPr>
                <w:rFonts w:hint="eastAsia" w:ascii="宋体" w:hAnsi="宋体" w:eastAsia="宋体" w:cs="宋体"/>
                <w:kern w:val="0"/>
                <w:sz w:val="24"/>
                <w:highlight w:val="none"/>
                <w:lang w:bidi="ar"/>
              </w:rPr>
              <w:t>.3 虚拟仿真安全课程资源开发演示</w:t>
            </w:r>
          </w:p>
          <w:p>
            <w:pPr>
              <w:widowControl/>
              <w:rPr>
                <w:rFonts w:ascii="宋体" w:hAnsi="宋体" w:eastAsia="宋体" w:cs="宋体"/>
                <w:kern w:val="0"/>
                <w:sz w:val="24"/>
                <w:highlight w:val="none"/>
                <w:lang w:bidi="ar"/>
              </w:rPr>
            </w:pPr>
            <w:r>
              <w:rPr>
                <w:rFonts w:hint="eastAsia" w:ascii="宋体" w:hAnsi="宋体" w:eastAsia="宋体" w:cs="宋体"/>
                <w:kern w:val="0"/>
                <w:sz w:val="24"/>
                <w:highlight w:val="none"/>
                <w:lang w:bidi="ar"/>
              </w:rPr>
              <w:t>（1）软件三维仿真生产场景采用 WebGL三维图形引擎开发，投标时需演示内容组件功能创建三维可视化实训程序的搭建，需包含“位置”，“旋转”和“缩放”的基础信息，并展示以下“用户编辑”功能：着色器、脚本文件、动画、光源、材质、贴图、天空盒、网格等。</w:t>
            </w:r>
          </w:p>
          <w:p>
            <w:pPr>
              <w:widowControl/>
              <w:rPr>
                <w:rFonts w:ascii="宋体" w:hAnsi="宋体" w:eastAsia="宋体" w:cs="宋体"/>
                <w:kern w:val="0"/>
                <w:sz w:val="24"/>
                <w:highlight w:val="none"/>
                <w:lang w:bidi="ar"/>
              </w:rPr>
            </w:pPr>
            <w:r>
              <w:rPr>
                <w:rFonts w:hint="eastAsia" w:ascii="宋体" w:hAnsi="宋体" w:eastAsia="宋体" w:cs="宋体"/>
                <w:kern w:val="0"/>
                <w:sz w:val="24"/>
                <w:highlight w:val="none"/>
                <w:lang w:bidi="ar"/>
              </w:rPr>
              <w:t>（2）在实验室巡查过程中，可以用手机端对实验室隐患情况进行拍照并上传，添加为隐患点，描述隐患状况，对隐患进行分级，并对隐患点进行分类（分类标准依据教育部颁发的《高校教学实验室安全工作检查要点（2022版）》进行），在手机端查看安全督导台账。管理端可导出督导台账、巡查报告和整改通知。</w:t>
            </w:r>
          </w:p>
          <w:p>
            <w:pPr>
              <w:widowControl/>
              <w:rPr>
                <w:rFonts w:ascii="宋体" w:hAnsi="宋体" w:eastAsia="宋体" w:cs="宋体"/>
                <w:kern w:val="0"/>
                <w:sz w:val="24"/>
                <w:highlight w:val="none"/>
                <w:lang w:bidi="ar"/>
              </w:rPr>
            </w:pPr>
            <w:r>
              <w:rPr>
                <w:rFonts w:hint="eastAsia" w:ascii="宋体" w:hAnsi="宋体" w:eastAsia="宋体" w:cs="宋体"/>
                <w:kern w:val="0"/>
                <w:sz w:val="24"/>
                <w:highlight w:val="none"/>
                <w:lang w:bidi="ar"/>
              </w:rPr>
              <w:t>（3）安全资源学习库：库内包含至少50个可在线播放动画，内容为安全知识的使用培训，要求flash风格统一，每个flash都带有同一个标志性人物进行引导。</w:t>
            </w:r>
          </w:p>
          <w:p>
            <w:pPr>
              <w:widowControl/>
              <w:rPr>
                <w:rFonts w:ascii="宋体" w:hAnsi="宋体" w:eastAsia="宋体" w:cs="宋体"/>
                <w:kern w:val="0"/>
                <w:sz w:val="24"/>
                <w:highlight w:val="none"/>
                <w:lang w:bidi="ar"/>
              </w:rPr>
            </w:pPr>
            <w:r>
              <w:rPr>
                <w:rFonts w:hint="eastAsia" w:ascii="宋体" w:hAnsi="宋体" w:eastAsia="宋体" w:cs="宋体"/>
                <w:kern w:val="0"/>
                <w:sz w:val="24"/>
                <w:highlight w:val="none"/>
                <w:lang w:bidi="ar"/>
              </w:rPr>
              <w:t>（4）AED使用、心脏复苏方法，紧急喷淋设备使用方法，正压式呼吸器使用方法等事故急救科普flash，视频流畅清晰，风格统一。</w:t>
            </w:r>
          </w:p>
          <w:p>
            <w:pPr>
              <w:widowControl/>
              <w:rPr>
                <w:rFonts w:ascii="宋体" w:hAnsi="宋体" w:eastAsia="宋体" w:cs="宋体"/>
                <w:kern w:val="0"/>
                <w:sz w:val="24"/>
                <w:highlight w:val="none"/>
                <w:lang w:bidi="ar"/>
              </w:rPr>
            </w:pPr>
            <w:r>
              <w:rPr>
                <w:rFonts w:hint="eastAsia" w:ascii="宋体" w:hAnsi="宋体" w:eastAsia="宋体" w:cs="宋体"/>
                <w:kern w:val="0"/>
                <w:sz w:val="24"/>
                <w:highlight w:val="none"/>
                <w:lang w:bidi="ar"/>
              </w:rPr>
              <w:t>（5）灭火器、消防栓、火灾分类等科普flash，视频流畅清晰，风格统一。</w:t>
            </w:r>
          </w:p>
          <w:p>
            <w:pPr>
              <w:widowControl/>
              <w:rPr>
                <w:rFonts w:ascii="宋体" w:hAnsi="宋体" w:eastAsia="宋体" w:cs="宋体"/>
                <w:kern w:val="0"/>
                <w:sz w:val="24"/>
                <w:highlight w:val="none"/>
                <w:lang w:bidi="ar"/>
              </w:rPr>
            </w:pPr>
            <w:r>
              <w:rPr>
                <w:rFonts w:hint="eastAsia" w:ascii="宋体" w:hAnsi="宋体" w:eastAsia="宋体" w:cs="宋体"/>
                <w:kern w:val="0"/>
                <w:sz w:val="24"/>
                <w:highlight w:val="none"/>
                <w:lang w:bidi="ar"/>
              </w:rPr>
              <w:t>（6）展示模拟发生火灾安全事故，展现各个组件包括烟感温感、手动火警按钮、声光报警、防排烟系统、应急照明等与主机之间的信号传递和联动状态。</w:t>
            </w:r>
          </w:p>
          <w:p>
            <w:pPr>
              <w:widowControl/>
              <w:rPr>
                <w:rFonts w:ascii="宋体" w:hAnsi="宋体" w:eastAsia="宋体" w:cs="宋体"/>
                <w:kern w:val="0"/>
                <w:sz w:val="24"/>
                <w:highlight w:val="none"/>
                <w:lang w:bidi="ar"/>
              </w:rPr>
            </w:pPr>
            <w:r>
              <w:rPr>
                <w:rFonts w:hint="eastAsia" w:ascii="宋体" w:hAnsi="宋体" w:eastAsia="宋体" w:cs="宋体"/>
                <w:kern w:val="0"/>
                <w:sz w:val="24"/>
                <w:highlight w:val="none"/>
                <w:lang w:bidi="ar"/>
              </w:rPr>
              <w:t>（7）VR形式展示灭火器的使用。</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kern w:val="0"/>
                <w:sz w:val="24"/>
                <w:highlight w:val="none"/>
                <w:lang w:bidi="ar"/>
              </w:rPr>
              <w:t>要求提供视频或录屏演示（不接受原型演示），以上7点全部满足得3分，满足任意6点得2分，满足任意5点得1分，满足少于5点或未提供演示的不得分。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55" w:hRule="atLeast"/>
        </w:trPr>
        <w:tc>
          <w:tcPr>
            <w:tcW w:w="696" w:type="dxa"/>
            <w:vMerge w:val="continue"/>
            <w:tcBorders>
              <w:left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71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4"/>
                <w:highlight w:val="none"/>
                <w:lang w:bidi="ar"/>
              </w:rPr>
            </w:pPr>
            <w:r>
              <w:rPr>
                <w:rFonts w:hint="eastAsia" w:ascii="宋体" w:hAnsi="宋体" w:eastAsia="宋体" w:cs="宋体"/>
                <w:kern w:val="0"/>
                <w:sz w:val="24"/>
                <w:highlight w:val="none"/>
                <w:lang w:val="en-US" w:eastAsia="zh-CN" w:bidi="ar"/>
              </w:rPr>
              <w:t>3</w:t>
            </w:r>
            <w:r>
              <w:rPr>
                <w:rFonts w:hint="eastAsia" w:ascii="宋体" w:hAnsi="宋体" w:eastAsia="宋体" w:cs="宋体"/>
                <w:kern w:val="0"/>
                <w:sz w:val="24"/>
                <w:highlight w:val="none"/>
                <w:lang w:bidi="ar"/>
              </w:rPr>
              <w:t>.4 数字教材教学应用开发演示</w:t>
            </w:r>
          </w:p>
          <w:p>
            <w:pPr>
              <w:widowControl/>
              <w:rPr>
                <w:rFonts w:ascii="宋体" w:hAnsi="宋体" w:eastAsia="宋体" w:cs="宋体"/>
                <w:kern w:val="0"/>
                <w:sz w:val="24"/>
                <w:highlight w:val="none"/>
                <w:lang w:bidi="ar"/>
              </w:rPr>
            </w:pPr>
            <w:r>
              <w:rPr>
                <w:rFonts w:hint="eastAsia" w:ascii="宋体" w:hAnsi="宋体" w:eastAsia="宋体" w:cs="宋体"/>
                <w:kern w:val="0"/>
                <w:sz w:val="24"/>
                <w:highlight w:val="none"/>
                <w:lang w:bidi="ar"/>
              </w:rPr>
              <w:t>教材编辑器功能要求</w:t>
            </w:r>
          </w:p>
          <w:p>
            <w:pPr>
              <w:widowControl/>
              <w:rPr>
                <w:rFonts w:ascii="宋体" w:hAnsi="宋体" w:eastAsia="宋体" w:cs="宋体"/>
                <w:kern w:val="0"/>
                <w:sz w:val="24"/>
                <w:highlight w:val="none"/>
                <w:lang w:bidi="ar"/>
              </w:rPr>
            </w:pPr>
            <w:r>
              <w:rPr>
                <w:rFonts w:hint="eastAsia" w:ascii="宋体" w:hAnsi="宋体" w:eastAsia="宋体" w:cs="宋体"/>
                <w:kern w:val="0"/>
                <w:sz w:val="24"/>
                <w:highlight w:val="none"/>
                <w:lang w:bidi="ar"/>
              </w:rPr>
              <w:t>1.用户中心</w:t>
            </w:r>
          </w:p>
          <w:p>
            <w:pPr>
              <w:widowControl/>
              <w:rPr>
                <w:rFonts w:ascii="宋体" w:hAnsi="宋体" w:eastAsia="宋体" w:cs="宋体"/>
                <w:kern w:val="0"/>
                <w:sz w:val="24"/>
                <w:highlight w:val="none"/>
                <w:lang w:bidi="ar"/>
              </w:rPr>
            </w:pPr>
            <w:r>
              <w:rPr>
                <w:rFonts w:hint="eastAsia" w:ascii="宋体" w:hAnsi="宋体" w:eastAsia="宋体" w:cs="宋体"/>
                <w:kern w:val="0"/>
                <w:sz w:val="24"/>
                <w:highlight w:val="none"/>
                <w:lang w:bidi="ar"/>
              </w:rPr>
              <w:t>包含用户账号信息、用户收藏的教材和素材、用户创建的项目。</w:t>
            </w:r>
          </w:p>
          <w:p>
            <w:pPr>
              <w:widowControl/>
              <w:rPr>
                <w:rFonts w:ascii="宋体" w:hAnsi="宋体" w:eastAsia="宋体" w:cs="宋体"/>
                <w:kern w:val="0"/>
                <w:sz w:val="24"/>
                <w:highlight w:val="none"/>
                <w:lang w:bidi="ar"/>
              </w:rPr>
            </w:pPr>
            <w:r>
              <w:rPr>
                <w:rFonts w:hint="eastAsia" w:ascii="宋体" w:hAnsi="宋体" w:eastAsia="宋体" w:cs="宋体"/>
                <w:kern w:val="0"/>
                <w:sz w:val="24"/>
                <w:highlight w:val="none"/>
                <w:lang w:bidi="ar"/>
              </w:rPr>
              <w:t>2.素材库</w:t>
            </w:r>
          </w:p>
          <w:p>
            <w:pPr>
              <w:widowControl/>
              <w:rPr>
                <w:rFonts w:ascii="宋体" w:hAnsi="宋体" w:eastAsia="宋体" w:cs="宋体"/>
                <w:kern w:val="0"/>
                <w:sz w:val="24"/>
                <w:highlight w:val="none"/>
                <w:lang w:bidi="ar"/>
              </w:rPr>
            </w:pPr>
            <w:r>
              <w:rPr>
                <w:rFonts w:hint="eastAsia" w:ascii="宋体" w:hAnsi="宋体" w:eastAsia="宋体" w:cs="宋体"/>
                <w:kern w:val="0"/>
                <w:sz w:val="24"/>
                <w:highlight w:val="none"/>
                <w:lang w:bidi="ar"/>
              </w:rPr>
              <w:t>包含图书页面、模型、视频、音频、图片、文档、WORD、PDF等素材格式；同时包含按照专业大类划分的素材类型。</w:t>
            </w:r>
          </w:p>
          <w:p>
            <w:pPr>
              <w:widowControl/>
              <w:rPr>
                <w:rFonts w:ascii="宋体" w:hAnsi="宋体" w:eastAsia="宋体" w:cs="宋体"/>
                <w:kern w:val="0"/>
                <w:sz w:val="24"/>
                <w:highlight w:val="none"/>
                <w:lang w:bidi="ar"/>
              </w:rPr>
            </w:pPr>
            <w:r>
              <w:rPr>
                <w:rFonts w:hint="eastAsia" w:ascii="宋体" w:hAnsi="宋体" w:eastAsia="宋体" w:cs="宋体"/>
                <w:kern w:val="0"/>
                <w:sz w:val="24"/>
                <w:highlight w:val="none"/>
                <w:lang w:bidi="ar"/>
              </w:rPr>
              <w:t>3.模板库</w:t>
            </w:r>
          </w:p>
          <w:p>
            <w:pPr>
              <w:widowControl/>
              <w:rPr>
                <w:rFonts w:ascii="宋体" w:hAnsi="宋体" w:eastAsia="宋体" w:cs="宋体"/>
                <w:kern w:val="0"/>
                <w:sz w:val="24"/>
                <w:highlight w:val="none"/>
                <w:lang w:bidi="ar"/>
              </w:rPr>
            </w:pPr>
            <w:r>
              <w:rPr>
                <w:rFonts w:hint="eastAsia" w:ascii="宋体" w:hAnsi="宋体" w:eastAsia="宋体" w:cs="宋体"/>
                <w:kern w:val="0"/>
                <w:sz w:val="24"/>
                <w:highlight w:val="none"/>
                <w:lang w:bidi="ar"/>
              </w:rPr>
              <w:t>按照排版、颜色、专业、应用场景的不同而制作的不同风格的模板。用户在制作教材时可在模板库中选用一套模板进行套用，从而提高教材制作的效率。</w:t>
            </w:r>
          </w:p>
          <w:p>
            <w:pPr>
              <w:widowControl/>
              <w:rPr>
                <w:rFonts w:ascii="宋体" w:hAnsi="宋体" w:eastAsia="宋体" w:cs="宋体"/>
                <w:kern w:val="0"/>
                <w:sz w:val="24"/>
                <w:highlight w:val="none"/>
                <w:lang w:bidi="ar"/>
              </w:rPr>
            </w:pPr>
            <w:r>
              <w:rPr>
                <w:rFonts w:hint="eastAsia" w:ascii="宋体" w:hAnsi="宋体" w:eastAsia="宋体" w:cs="宋体"/>
                <w:kern w:val="0"/>
                <w:sz w:val="24"/>
                <w:highlight w:val="none"/>
                <w:lang w:bidi="ar"/>
              </w:rPr>
              <w:t>4.编辑器</w:t>
            </w:r>
          </w:p>
          <w:p>
            <w:pPr>
              <w:widowControl/>
              <w:rPr>
                <w:rFonts w:ascii="宋体" w:hAnsi="宋体" w:eastAsia="宋体" w:cs="宋体"/>
                <w:kern w:val="0"/>
                <w:sz w:val="24"/>
                <w:highlight w:val="none"/>
                <w:lang w:bidi="ar"/>
              </w:rPr>
            </w:pPr>
            <w:r>
              <w:rPr>
                <w:rFonts w:hint="eastAsia" w:ascii="宋体" w:hAnsi="宋体" w:eastAsia="宋体" w:cs="宋体"/>
                <w:kern w:val="0"/>
                <w:sz w:val="24"/>
                <w:highlight w:val="none"/>
                <w:lang w:bidi="ar"/>
              </w:rPr>
              <w:t>用户新建项目，导入Word、PDF或者图片格式的教材，然后从素材库中导入素材，将需要关联素材的教材页面进行识别，识别成功后进行内容和素材的关联操作，同时设置热点，以便教材在其他终端进行播放时通过点击查看素材。在完成素材绑定后，可进行章节管理和交互设计等操作，完成并最终提交图书。</w:t>
            </w:r>
          </w:p>
          <w:p>
            <w:pPr>
              <w:widowControl/>
              <w:rPr>
                <w:rFonts w:ascii="宋体" w:hAnsi="宋体" w:eastAsia="宋体" w:cs="宋体"/>
                <w:kern w:val="0"/>
                <w:sz w:val="24"/>
                <w:highlight w:val="none"/>
                <w:lang w:bidi="ar"/>
              </w:rPr>
            </w:pPr>
            <w:r>
              <w:rPr>
                <w:rFonts w:hint="eastAsia" w:ascii="宋体" w:hAnsi="宋体" w:eastAsia="宋体" w:cs="宋体"/>
                <w:kern w:val="0"/>
                <w:sz w:val="24"/>
                <w:highlight w:val="none"/>
                <w:lang w:bidi="ar"/>
              </w:rPr>
              <w:t>5.书城</w:t>
            </w:r>
          </w:p>
          <w:p>
            <w:pPr>
              <w:widowControl/>
              <w:rPr>
                <w:rFonts w:ascii="宋体" w:hAnsi="宋体" w:eastAsia="宋体" w:cs="宋体"/>
                <w:kern w:val="0"/>
                <w:sz w:val="24"/>
                <w:highlight w:val="none"/>
                <w:lang w:bidi="ar"/>
              </w:rPr>
            </w:pPr>
            <w:r>
              <w:rPr>
                <w:rFonts w:hint="eastAsia" w:ascii="宋体" w:hAnsi="宋体" w:eastAsia="宋体" w:cs="宋体"/>
                <w:kern w:val="0"/>
                <w:sz w:val="24"/>
                <w:highlight w:val="none"/>
                <w:lang w:bidi="ar"/>
              </w:rPr>
              <w:t>所有用户创建且成功发布的教材将会出现在“书城”中。书城中的教材按照专业、岗位进行分类，用户根据权限进行查阅。</w:t>
            </w:r>
          </w:p>
          <w:p>
            <w:pPr>
              <w:widowControl/>
              <w:rPr>
                <w:rFonts w:ascii="宋体" w:hAnsi="宋体" w:eastAsia="宋体" w:cs="宋体"/>
                <w:kern w:val="0"/>
                <w:sz w:val="24"/>
                <w:highlight w:val="none"/>
                <w:lang w:bidi="ar"/>
              </w:rPr>
            </w:pPr>
            <w:r>
              <w:rPr>
                <w:rFonts w:hint="eastAsia" w:ascii="宋体" w:hAnsi="宋体" w:eastAsia="宋体" w:cs="宋体"/>
                <w:kern w:val="0"/>
                <w:sz w:val="24"/>
                <w:highlight w:val="none"/>
                <w:lang w:bidi="ar"/>
              </w:rPr>
              <w:t>6.项目管理</w:t>
            </w:r>
          </w:p>
          <w:p>
            <w:pPr>
              <w:widowControl/>
              <w:rPr>
                <w:rFonts w:ascii="宋体" w:hAnsi="宋体" w:eastAsia="宋体" w:cs="宋体"/>
                <w:kern w:val="0"/>
                <w:sz w:val="24"/>
                <w:highlight w:val="none"/>
                <w:lang w:bidi="ar"/>
              </w:rPr>
            </w:pPr>
            <w:r>
              <w:rPr>
                <w:rFonts w:hint="eastAsia" w:ascii="宋体" w:hAnsi="宋体" w:eastAsia="宋体" w:cs="宋体"/>
                <w:kern w:val="0"/>
                <w:sz w:val="24"/>
                <w:highlight w:val="none"/>
                <w:lang w:bidi="ar"/>
              </w:rPr>
              <w:t>提交图书后进入待审核教材池，由审核员进行内容审查，审核通过后即可发布，用户可在“书城”及其他终端进行查看。</w:t>
            </w:r>
          </w:p>
          <w:p>
            <w:pPr>
              <w:pStyle w:val="2"/>
              <w:spacing w:after="0"/>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7.AR</w:t>
            </w:r>
            <w:r>
              <w:rPr>
                <w:rFonts w:hint="eastAsia" w:ascii="宋体" w:hAnsi="宋体" w:eastAsia="宋体" w:cs="宋体"/>
                <w:kern w:val="0"/>
                <w:sz w:val="24"/>
                <w:highlight w:val="none"/>
                <w:lang w:val="en-US" w:eastAsia="zh-CN" w:bidi="ar"/>
              </w:rPr>
              <w:t>数字</w:t>
            </w:r>
            <w:r>
              <w:rPr>
                <w:rFonts w:hint="eastAsia" w:ascii="宋体" w:hAnsi="宋体" w:eastAsia="宋体" w:cs="宋体"/>
                <w:kern w:val="0"/>
                <w:sz w:val="24"/>
                <w:highlight w:val="none"/>
                <w:lang w:bidi="ar"/>
              </w:rPr>
              <w:t>教材定制开发</w:t>
            </w:r>
          </w:p>
          <w:p>
            <w:pPr>
              <w:pStyle w:val="2"/>
              <w:spacing w:after="0"/>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（1）教材采用小程序为主平台开发，可支撑微信生态内的登录，转发，可绑定</w:t>
            </w:r>
            <w:r>
              <w:rPr>
                <w:rFonts w:hint="eastAsia" w:ascii="宋体" w:hAnsi="宋体" w:eastAsia="宋体" w:cs="宋体"/>
                <w:kern w:val="0"/>
                <w:sz w:val="24"/>
                <w:highlight w:val="none"/>
                <w:lang w:val="en-US" w:eastAsia="zh-CN" w:bidi="ar"/>
              </w:rPr>
              <w:t>用</w:t>
            </w:r>
            <w:r>
              <w:rPr>
                <w:rFonts w:hint="eastAsia" w:ascii="宋体" w:hAnsi="宋体" w:eastAsia="宋体" w:cs="宋体"/>
                <w:kern w:val="0"/>
                <w:sz w:val="24"/>
                <w:highlight w:val="none"/>
                <w:lang w:bidi="ar"/>
              </w:rPr>
              <w:t>户，优先查看</w:t>
            </w:r>
            <w:r>
              <w:rPr>
                <w:rFonts w:hint="eastAsia" w:ascii="宋体" w:hAnsi="宋体" w:eastAsia="宋体" w:cs="宋体"/>
                <w:kern w:val="0"/>
                <w:sz w:val="24"/>
                <w:highlight w:val="none"/>
                <w:lang w:val="en-US" w:eastAsia="zh-CN" w:bidi="ar"/>
              </w:rPr>
              <w:t>用</w:t>
            </w:r>
            <w:r>
              <w:rPr>
                <w:rFonts w:hint="eastAsia" w:ascii="宋体" w:hAnsi="宋体" w:eastAsia="宋体" w:cs="宋体"/>
                <w:kern w:val="0"/>
                <w:sz w:val="24"/>
                <w:highlight w:val="none"/>
                <w:lang w:bidi="ar"/>
              </w:rPr>
              <w:t>户教材。</w:t>
            </w:r>
          </w:p>
          <w:p>
            <w:pPr>
              <w:pStyle w:val="2"/>
              <w:spacing w:after="0"/>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（2）AR</w:t>
            </w:r>
            <w:r>
              <w:rPr>
                <w:rFonts w:hint="eastAsia" w:ascii="宋体" w:hAnsi="宋体" w:eastAsia="宋体" w:cs="宋体"/>
                <w:kern w:val="0"/>
                <w:sz w:val="24"/>
                <w:highlight w:val="none"/>
                <w:lang w:val="en-US" w:eastAsia="zh-CN" w:bidi="ar"/>
              </w:rPr>
              <w:t>数字</w:t>
            </w:r>
            <w:r>
              <w:rPr>
                <w:rFonts w:hint="eastAsia" w:ascii="宋体" w:hAnsi="宋体" w:eastAsia="宋体" w:cs="宋体"/>
                <w:kern w:val="0"/>
                <w:sz w:val="24"/>
                <w:highlight w:val="none"/>
                <w:lang w:bidi="ar"/>
              </w:rPr>
              <w:t>教材内清晰包含版权信息，资源数量，更新时间，教材简介</w:t>
            </w:r>
          </w:p>
          <w:p>
            <w:pPr>
              <w:pStyle w:val="2"/>
              <w:spacing w:after="0"/>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（3）AR</w:t>
            </w:r>
            <w:r>
              <w:rPr>
                <w:rFonts w:hint="eastAsia" w:ascii="宋体" w:hAnsi="宋体" w:eastAsia="宋体" w:cs="宋体"/>
                <w:kern w:val="0"/>
                <w:sz w:val="24"/>
                <w:highlight w:val="none"/>
                <w:lang w:val="en-US" w:eastAsia="zh-CN" w:bidi="ar"/>
              </w:rPr>
              <w:t>数字</w:t>
            </w:r>
            <w:r>
              <w:rPr>
                <w:rFonts w:hint="eastAsia" w:ascii="宋体" w:hAnsi="宋体" w:eastAsia="宋体" w:cs="宋体"/>
                <w:kern w:val="0"/>
                <w:sz w:val="24"/>
                <w:highlight w:val="none"/>
                <w:lang w:bidi="ar"/>
              </w:rPr>
              <w:t>教材可通过图片识别，文字识别，二维码识别方式进行识别，关联对应数字资源，数字资源报告文本，图片，视频，模型类型</w:t>
            </w:r>
          </w:p>
          <w:p>
            <w:pPr>
              <w:pStyle w:val="2"/>
              <w:spacing w:after="0"/>
              <w:rPr>
                <w:rFonts w:hint="eastAsia" w:ascii="宋体" w:hAnsi="宋体" w:eastAsia="宋体" w:cs="宋体"/>
                <w:kern w:val="0"/>
                <w:sz w:val="24"/>
                <w:highlight w:val="none"/>
                <w:lang w:bidi="ar"/>
              </w:rPr>
            </w:pPr>
            <w:r>
              <w:rPr>
                <w:rFonts w:hint="eastAsia" w:ascii="宋体" w:hAnsi="宋体" w:eastAsia="宋体" w:cs="宋体"/>
                <w:kern w:val="0"/>
                <w:sz w:val="24"/>
                <w:highlight w:val="none"/>
                <w:lang w:bidi="ar"/>
              </w:rPr>
              <w:t>（4）电子阅读下，可通过</w:t>
            </w:r>
            <w:r>
              <w:rPr>
                <w:rFonts w:hint="eastAsia" w:ascii="宋体" w:hAnsi="宋体" w:eastAsia="宋体" w:cs="宋体"/>
                <w:kern w:val="0"/>
                <w:sz w:val="24"/>
                <w:highlight w:val="none"/>
                <w:lang w:val="en-US" w:eastAsia="zh-CN" w:bidi="ar"/>
              </w:rPr>
              <w:t>资源交互区</w:t>
            </w:r>
            <w:r>
              <w:rPr>
                <w:rFonts w:hint="eastAsia" w:ascii="宋体" w:hAnsi="宋体" w:eastAsia="宋体" w:cs="宋体"/>
                <w:kern w:val="0"/>
                <w:sz w:val="24"/>
                <w:highlight w:val="none"/>
                <w:lang w:bidi="ar"/>
              </w:rPr>
              <w:t>查看对应资源，一个</w:t>
            </w:r>
            <w:r>
              <w:rPr>
                <w:rFonts w:hint="eastAsia" w:ascii="宋体" w:hAnsi="宋体" w:eastAsia="宋体" w:cs="宋体"/>
                <w:kern w:val="0"/>
                <w:sz w:val="24"/>
                <w:highlight w:val="none"/>
                <w:lang w:val="en-US" w:eastAsia="zh-CN" w:bidi="ar"/>
              </w:rPr>
              <w:t>资源交互区</w:t>
            </w:r>
            <w:r>
              <w:rPr>
                <w:rFonts w:hint="eastAsia" w:ascii="宋体" w:hAnsi="宋体" w:eastAsia="宋体" w:cs="宋体"/>
                <w:kern w:val="0"/>
                <w:sz w:val="24"/>
                <w:highlight w:val="none"/>
                <w:lang w:bidi="ar"/>
              </w:rPr>
              <w:t>包含多个资源。也可通过目录查看整体框架。</w:t>
            </w:r>
          </w:p>
          <w:p>
            <w:pPr>
              <w:widowControl/>
              <w:rPr>
                <w:rFonts w:hint="eastAsia" w:ascii="仿宋" w:hAnsi="仿宋" w:cs="宋体"/>
                <w:color w:val="000000"/>
                <w:kern w:val="0"/>
                <w:sz w:val="22"/>
                <w:highlight w:val="none"/>
              </w:rPr>
            </w:pPr>
            <w:r>
              <w:rPr>
                <w:rFonts w:hint="eastAsia" w:ascii="宋体" w:hAnsi="宋体" w:eastAsia="宋体" w:cs="宋体"/>
                <w:kern w:val="0"/>
                <w:sz w:val="24"/>
                <w:highlight w:val="none"/>
                <w:lang w:bidi="ar"/>
              </w:rPr>
              <w:t>要求提供现场演示（不接受录屏演示或者原型演示），以上</w:t>
            </w:r>
            <w:r>
              <w:rPr>
                <w:rFonts w:hint="eastAsia" w:ascii="宋体" w:hAnsi="宋体" w:eastAsia="宋体" w:cs="宋体"/>
                <w:kern w:val="0"/>
                <w:sz w:val="24"/>
                <w:highlight w:val="none"/>
                <w:lang w:val="en-US" w:eastAsia="zh-CN" w:bidi="ar"/>
              </w:rPr>
              <w:t>7</w:t>
            </w:r>
            <w:r>
              <w:rPr>
                <w:rFonts w:hint="eastAsia" w:ascii="宋体" w:hAnsi="宋体" w:eastAsia="宋体" w:cs="宋体"/>
                <w:kern w:val="0"/>
                <w:sz w:val="24"/>
                <w:highlight w:val="none"/>
                <w:lang w:bidi="ar"/>
              </w:rPr>
              <w:t>点全部满足得3分，部分满足或未提供演示的不得分。</w:t>
            </w:r>
          </w:p>
        </w:tc>
      </w:tr>
    </w:tbl>
    <w:p>
      <w:pPr>
        <w:widowControl/>
        <w:spacing w:before="100" w:beforeAutospacing="1" w:after="100" w:afterAutospacing="1"/>
        <w:ind w:firstLine="480"/>
        <w:jc w:val="left"/>
        <w:rPr>
          <w:rFonts w:hint="eastAsia" w:ascii="宋体" w:hAnsi="宋体" w:eastAsia="宋体" w:cs="宋体"/>
          <w:b/>
          <w:bCs/>
          <w:kern w:val="0"/>
          <w:sz w:val="24"/>
          <w:szCs w:val="24"/>
          <w:highlight w:val="none"/>
        </w:rPr>
      </w:pPr>
    </w:p>
    <w:p>
      <w:pPr>
        <w:widowControl/>
        <w:spacing w:before="100" w:beforeAutospacing="1" w:after="100" w:afterAutospacing="1"/>
        <w:ind w:firstLine="480"/>
        <w:jc w:val="left"/>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③商务项（</w:t>
      </w:r>
      <w:r>
        <w:rPr>
          <w:rFonts w:ascii="Calibri" w:hAnsi="Calibri" w:eastAsia="宋体" w:cs="Calibri"/>
          <w:b/>
          <w:bCs/>
          <w:kern w:val="0"/>
          <w:sz w:val="24"/>
          <w:szCs w:val="24"/>
          <w:highlight w:val="none"/>
        </w:rPr>
        <w:t>F3</w:t>
      </w:r>
      <w:r>
        <w:rPr>
          <w:rFonts w:hint="eastAsia" w:ascii="宋体" w:hAnsi="宋体" w:eastAsia="宋体" w:cs="宋体"/>
          <w:b/>
          <w:bCs/>
          <w:kern w:val="0"/>
          <w:sz w:val="24"/>
          <w:szCs w:val="24"/>
          <w:highlight w:val="none"/>
        </w:rPr>
        <w:t>×</w:t>
      </w:r>
      <w:r>
        <w:rPr>
          <w:rFonts w:ascii="Calibri" w:hAnsi="Calibri" w:eastAsia="宋体" w:cs="Calibri"/>
          <w:b/>
          <w:bCs/>
          <w:kern w:val="0"/>
          <w:sz w:val="24"/>
          <w:szCs w:val="24"/>
          <w:highlight w:val="none"/>
        </w:rPr>
        <w:t>A3</w:t>
      </w:r>
      <w:r>
        <w:rPr>
          <w:rFonts w:hint="eastAsia" w:ascii="宋体" w:hAnsi="宋体" w:eastAsia="宋体" w:cs="宋体"/>
          <w:b/>
          <w:bCs/>
          <w:kern w:val="0"/>
          <w:sz w:val="24"/>
          <w:szCs w:val="24"/>
          <w:highlight w:val="none"/>
        </w:rPr>
        <w:t>）满分为</w:t>
      </w:r>
      <w:r>
        <w:rPr>
          <w:rFonts w:hint="eastAsia" w:ascii="宋体" w:hAnsi="宋体" w:eastAsia="宋体" w:cs="宋体"/>
          <w:b/>
          <w:bCs/>
          <w:kern w:val="0"/>
          <w:sz w:val="24"/>
          <w:szCs w:val="24"/>
          <w:highlight w:val="none"/>
          <w:u w:val="single"/>
        </w:rPr>
        <w:t>1</w:t>
      </w:r>
      <w:r>
        <w:rPr>
          <w:rFonts w:hint="eastAsia" w:ascii="宋体" w:hAnsi="宋体" w:eastAsia="宋体" w:cs="宋体"/>
          <w:b/>
          <w:bCs/>
          <w:kern w:val="0"/>
          <w:sz w:val="24"/>
          <w:szCs w:val="24"/>
          <w:highlight w:val="none"/>
          <w:u w:val="single"/>
          <w:lang w:val="en-US" w:eastAsia="zh-CN"/>
        </w:rPr>
        <w:t>0</w:t>
      </w:r>
      <w:r>
        <w:rPr>
          <w:rFonts w:hint="eastAsia" w:ascii="宋体" w:hAnsi="宋体" w:eastAsia="宋体" w:cs="宋体"/>
          <w:b/>
          <w:bCs/>
          <w:kern w:val="0"/>
          <w:sz w:val="24"/>
          <w:szCs w:val="24"/>
          <w:highlight w:val="none"/>
        </w:rPr>
        <w:t>分。</w:t>
      </w:r>
    </w:p>
    <w:tbl>
      <w:tblPr>
        <w:tblStyle w:val="14"/>
        <w:tblW w:w="836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5"/>
        <w:gridCol w:w="825"/>
        <w:gridCol w:w="6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jc w:val="center"/>
        </w:trPr>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评标项目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评标分值</w:t>
            </w:r>
          </w:p>
        </w:tc>
        <w:tc>
          <w:tcPr>
            <w:tcW w:w="6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评标方法描述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jc w:val="center"/>
        </w:trPr>
        <w:tc>
          <w:tcPr>
            <w:tcW w:w="12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宋体" w:hAnsi="宋体" w:eastAsia="宋体" w:cs="宋体"/>
                <w:i w:val="0"/>
                <w:iCs w:val="0"/>
                <w:strike w:val="0"/>
                <w:color w:val="auto"/>
                <w:sz w:val="24"/>
                <w:szCs w:val="24"/>
                <w:highlight w:val="none"/>
                <w:u w:val="none"/>
                <w:lang w:val="en-US"/>
              </w:rPr>
            </w:pPr>
            <w:r>
              <w:rPr>
                <w:rFonts w:hint="eastAsia" w:ascii="宋体" w:hAnsi="宋体" w:eastAsia="宋体" w:cs="宋体"/>
                <w:i w:val="0"/>
                <w:iCs w:val="0"/>
                <w:strike w:val="0"/>
                <w:color w:val="auto"/>
                <w:kern w:val="0"/>
                <w:sz w:val="24"/>
                <w:szCs w:val="24"/>
                <w:highlight w:val="none"/>
                <w:u w:val="none"/>
                <w:lang w:val="en-US" w:eastAsia="zh-CN" w:bidi="ar"/>
              </w:rPr>
              <w:t>1.资质证书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宋体" w:hAnsi="宋体" w:eastAsia="宋体" w:cs="宋体"/>
                <w:i w:val="0"/>
                <w:iCs w:val="0"/>
                <w:strike w:val="0"/>
                <w:color w:val="auto"/>
                <w:sz w:val="24"/>
                <w:szCs w:val="24"/>
                <w:highlight w:val="none"/>
                <w:u w:val="none"/>
                <w:lang w:val="en-US"/>
              </w:rPr>
            </w:pPr>
            <w:r>
              <w:rPr>
                <w:rFonts w:hint="eastAsia" w:ascii="宋体" w:hAnsi="宋体" w:eastAsia="宋体" w:cs="宋体"/>
                <w:i w:val="0"/>
                <w:iCs w:val="0"/>
                <w:strike w:val="0"/>
                <w:color w:val="auto"/>
                <w:kern w:val="0"/>
                <w:sz w:val="24"/>
                <w:szCs w:val="24"/>
                <w:highlight w:val="none"/>
                <w:u w:val="none"/>
                <w:lang w:val="en-US" w:eastAsia="zh-CN" w:bidi="ar"/>
              </w:rPr>
              <w:t>0.5</w:t>
            </w:r>
          </w:p>
        </w:tc>
        <w:tc>
          <w:tcPr>
            <w:tcW w:w="6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strike w:val="0"/>
                <w:color w:val="auto"/>
                <w:sz w:val="24"/>
                <w:szCs w:val="24"/>
                <w:highlight w:val="none"/>
                <w:u w:val="none"/>
                <w:lang w:val="en-US" w:eastAsia="zh-CN"/>
              </w:rPr>
            </w:pPr>
            <w:r>
              <w:rPr>
                <w:rFonts w:hint="eastAsia" w:ascii="宋体" w:hAnsi="宋体" w:eastAsia="宋体" w:cs="宋体"/>
                <w:i w:val="0"/>
                <w:iCs w:val="0"/>
                <w:strike w:val="0"/>
                <w:color w:val="auto"/>
                <w:sz w:val="24"/>
                <w:szCs w:val="24"/>
                <w:highlight w:val="none"/>
                <w:u w:val="none"/>
                <w:lang w:val="en-US" w:eastAsia="zh-CN"/>
              </w:rPr>
              <w:t>投标人（或其隶属公司）具有质量管理体系认证证书，提供有效期内的认证证书得0.5分，不提供不得分。（投标人须提供有效的证书复印件并加盖公章，否则不得分。）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jc w:val="center"/>
        </w:trPr>
        <w:tc>
          <w:tcPr>
            <w:tcW w:w="129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i w:val="0"/>
                <w:iCs w:val="0"/>
                <w:strike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宋体" w:hAnsi="宋体" w:eastAsia="宋体" w:cs="宋体"/>
                <w:i w:val="0"/>
                <w:iCs w:val="0"/>
                <w:strike w:val="0"/>
                <w:color w:val="auto"/>
                <w:sz w:val="24"/>
                <w:szCs w:val="24"/>
                <w:highlight w:val="none"/>
                <w:u w:val="none"/>
                <w:lang w:val="en-US"/>
              </w:rPr>
            </w:pPr>
            <w:r>
              <w:rPr>
                <w:rFonts w:hint="eastAsia" w:ascii="宋体" w:hAnsi="宋体" w:eastAsia="宋体" w:cs="宋体"/>
                <w:i w:val="0"/>
                <w:iCs w:val="0"/>
                <w:strike w:val="0"/>
                <w:color w:val="auto"/>
                <w:kern w:val="0"/>
                <w:sz w:val="24"/>
                <w:szCs w:val="24"/>
                <w:highlight w:val="none"/>
                <w:u w:val="none"/>
                <w:lang w:val="en-US" w:eastAsia="zh-CN" w:bidi="ar"/>
              </w:rPr>
              <w:t>0.5</w:t>
            </w:r>
          </w:p>
        </w:tc>
        <w:tc>
          <w:tcPr>
            <w:tcW w:w="6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strike w:val="0"/>
                <w:color w:val="auto"/>
                <w:sz w:val="24"/>
                <w:szCs w:val="24"/>
                <w:highlight w:val="none"/>
                <w:u w:val="none"/>
              </w:rPr>
            </w:pPr>
            <w:r>
              <w:rPr>
                <w:rFonts w:hint="eastAsia" w:ascii="宋体" w:hAnsi="宋体" w:eastAsia="宋体" w:cs="宋体"/>
                <w:i w:val="0"/>
                <w:iCs w:val="0"/>
                <w:strike w:val="0"/>
                <w:color w:val="auto"/>
                <w:sz w:val="24"/>
                <w:szCs w:val="24"/>
                <w:highlight w:val="none"/>
                <w:u w:val="none"/>
                <w:lang w:val="en-US" w:eastAsia="zh-CN"/>
              </w:rPr>
              <w:t>投标人（或其隶属公司）具有</w:t>
            </w:r>
            <w:r>
              <w:rPr>
                <w:b w:val="0"/>
                <w:bCs/>
                <w:strike w:val="0"/>
                <w:highlight w:val="none"/>
              </w:rPr>
              <w:t>环境管理体系认证证书</w:t>
            </w:r>
            <w:r>
              <w:rPr>
                <w:rFonts w:hint="eastAsia" w:ascii="宋体" w:hAnsi="宋体" w:eastAsia="宋体" w:cs="宋体"/>
                <w:i w:val="0"/>
                <w:iCs w:val="0"/>
                <w:strike w:val="0"/>
                <w:color w:val="auto"/>
                <w:sz w:val="24"/>
                <w:szCs w:val="24"/>
                <w:highlight w:val="none"/>
                <w:u w:val="none"/>
                <w:lang w:val="en-US" w:eastAsia="zh-CN"/>
              </w:rPr>
              <w:t>，提供有效期内的认证证书得0.5分，不提供不得分。（投标人须提供有效的证书复印件并加盖公章，否则不得分。）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jc w:val="center"/>
        </w:trPr>
        <w:tc>
          <w:tcPr>
            <w:tcW w:w="129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eastAsia="宋体" w:cs="宋体"/>
                <w:i w:val="0"/>
                <w:iCs w:val="0"/>
                <w:strike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宋体" w:hAnsi="宋体" w:eastAsia="宋体" w:cs="宋体"/>
                <w:i w:val="0"/>
                <w:iCs w:val="0"/>
                <w:strike w:val="0"/>
                <w:color w:val="auto"/>
                <w:sz w:val="24"/>
                <w:szCs w:val="24"/>
                <w:highlight w:val="none"/>
                <w:u w:val="none"/>
                <w:lang w:val="en-US"/>
              </w:rPr>
            </w:pPr>
            <w:r>
              <w:rPr>
                <w:rFonts w:hint="eastAsia" w:ascii="宋体" w:hAnsi="宋体" w:cs="宋体"/>
                <w:i w:val="0"/>
                <w:iCs w:val="0"/>
                <w:strike w:val="0"/>
                <w:color w:val="auto"/>
                <w:kern w:val="0"/>
                <w:sz w:val="24"/>
                <w:szCs w:val="24"/>
                <w:highlight w:val="none"/>
                <w:u w:val="none"/>
                <w:lang w:val="en-US" w:eastAsia="zh-CN" w:bidi="ar"/>
              </w:rPr>
              <w:t>0.5</w:t>
            </w:r>
          </w:p>
        </w:tc>
        <w:tc>
          <w:tcPr>
            <w:tcW w:w="6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i w:val="0"/>
                <w:iCs w:val="0"/>
                <w:strike w:val="0"/>
                <w:color w:val="auto"/>
                <w:sz w:val="24"/>
                <w:szCs w:val="24"/>
                <w:highlight w:val="none"/>
                <w:u w:val="none"/>
                <w:lang w:val="en-US"/>
              </w:rPr>
            </w:pPr>
            <w:r>
              <w:rPr>
                <w:rFonts w:hint="eastAsia" w:ascii="宋体" w:hAnsi="宋体" w:eastAsia="宋体" w:cs="宋体"/>
                <w:i w:val="0"/>
                <w:iCs w:val="0"/>
                <w:strike w:val="0"/>
                <w:color w:val="auto"/>
                <w:kern w:val="0"/>
                <w:sz w:val="24"/>
                <w:szCs w:val="24"/>
                <w:highlight w:val="none"/>
                <w:u w:val="none"/>
                <w:lang w:val="en-US" w:eastAsia="zh-CN" w:bidi="ar"/>
              </w:rPr>
              <w:t>投标人（或其隶属公司）具有职业健康安全管理体系认证证书，提供有效期内的认证证书得0.5分，不提供不得分。（投标人须提供有效的证书复印件并加盖公章，否则不得分。）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jc w:val="center"/>
        </w:trPr>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20" w:lineRule="exact"/>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kern w:val="0"/>
                <w:sz w:val="24"/>
                <w:highlight w:val="none"/>
                <w:lang w:bidi="ar"/>
              </w:rPr>
              <w:t>2</w:t>
            </w:r>
            <w:r>
              <w:rPr>
                <w:rFonts w:hint="eastAsia" w:ascii="宋体" w:hAnsi="宋体" w:eastAsia="宋体" w:cs="宋体"/>
                <w:kern w:val="0"/>
                <w:sz w:val="24"/>
                <w:highlight w:val="none"/>
                <w:lang w:bidi="ar"/>
              </w:rPr>
              <w:t>.项目负责人</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20" w:lineRule="exact"/>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kern w:val="0"/>
                <w:sz w:val="24"/>
                <w:highlight w:val="none"/>
                <w:lang w:bidi="ar"/>
              </w:rPr>
              <w:t>0.5</w:t>
            </w:r>
          </w:p>
        </w:tc>
        <w:tc>
          <w:tcPr>
            <w:tcW w:w="6244"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kern w:val="0"/>
                <w:sz w:val="24"/>
                <w:highlight w:val="none"/>
                <w:lang w:bidi="ar"/>
              </w:rPr>
              <w:t>根据投标人拟投入本项目的项目负责人情况进行评分：项目负责人具备高级工程师职称的的得0.5分；注：须提供投标截止时间前6个月中任意1个月（不含投标截止当月）其公司为其缴纳的社保证明材料以及项目负责人职称证书复印件加盖公章。（不得与其他技术人员重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20" w:lineRule="exact"/>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kern w:val="0"/>
                <w:sz w:val="24"/>
                <w:highlight w:val="none"/>
                <w:lang w:bidi="ar"/>
              </w:rPr>
              <w:t>3.其他技术人员</w:t>
            </w:r>
          </w:p>
        </w:tc>
        <w:tc>
          <w:tcPr>
            <w:tcW w:w="82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400" w:lineRule="exact"/>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kern w:val="0"/>
                <w:sz w:val="24"/>
                <w:highlight w:val="none"/>
                <w:lang w:bidi="ar"/>
              </w:rPr>
              <w:t>1</w:t>
            </w:r>
          </w:p>
        </w:tc>
        <w:tc>
          <w:tcPr>
            <w:tcW w:w="6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kern w:val="0"/>
                <w:sz w:val="24"/>
                <w:highlight w:val="none"/>
                <w:lang w:bidi="ar"/>
              </w:rPr>
              <w:t>为保障技术服务响应，根据投标人拟投入本项目的技术成员实力情况进行评分：拟投入人员具备中级（及以上的）工程师职称人员数量在3人或3人以上的得1分。 注：上述人员须提供投标截止时间前6个月中任意1个月（不含投标截止当月）其公司为其缴纳的社保证明材料以及人员资质证书复印件加盖公章。同一人员多份证书不重复计分。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jc w:val="center"/>
        </w:trPr>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4.承诺函</w:t>
            </w:r>
          </w:p>
        </w:tc>
        <w:tc>
          <w:tcPr>
            <w:tcW w:w="825"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6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投标人承诺在项目一期验收前，全流程协助申报省级或国家级规划教材（包括数字教材和纸质教材），并承担申报工作产生的各项费用，提供承诺函并加盖公章得1分。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20" w:lineRule="exact"/>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color w:val="auto"/>
                <w:kern w:val="0"/>
                <w:sz w:val="24"/>
                <w:highlight w:val="none"/>
                <w:lang w:bidi="ar"/>
              </w:rPr>
              <w:t>5</w:t>
            </w:r>
            <w:r>
              <w:rPr>
                <w:rFonts w:hint="eastAsia" w:ascii="宋体" w:hAnsi="宋体" w:eastAsia="宋体" w:cs="宋体"/>
                <w:color w:val="auto"/>
                <w:kern w:val="0"/>
                <w:sz w:val="24"/>
                <w:highlight w:val="none"/>
                <w:lang w:bidi="ar"/>
              </w:rPr>
              <w:t>.培训方案</w:t>
            </w:r>
          </w:p>
        </w:tc>
        <w:tc>
          <w:tcPr>
            <w:tcW w:w="82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400" w:lineRule="exact"/>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color w:val="auto"/>
                <w:kern w:val="0"/>
                <w:sz w:val="24"/>
                <w:highlight w:val="none"/>
                <w:lang w:bidi="ar"/>
              </w:rPr>
              <w:t>3</w:t>
            </w:r>
          </w:p>
        </w:tc>
        <w:tc>
          <w:tcPr>
            <w:tcW w:w="6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根据培训方案详细程度、培训计划周密度、培训内容全面性、课程安排合理的程度进行评分。</w:t>
            </w:r>
          </w:p>
          <w:p>
            <w:pPr>
              <w:widowControl/>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1.培训方案及计划详细、具体、完整、可操作性强，配备的物力、人力充足，满足或优于采购要求的为优得3分；</w:t>
            </w:r>
          </w:p>
          <w:p>
            <w:pPr>
              <w:widowControl/>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2.方案及计划较为详细、具体、完整，可操作性较强，配备的物力、人力较为充足，基本上满足采购要求的为良得2分；</w:t>
            </w:r>
          </w:p>
          <w:p>
            <w:pPr>
              <w:widowControl/>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3.培训方案及计划可操作性较差得1分；</w:t>
            </w:r>
          </w:p>
          <w:p>
            <w:pPr>
              <w:widowControl/>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highlight w:val="none"/>
                <w:lang w:bidi="ar"/>
              </w:rPr>
              <w:t>4.未提供培训方案不得分</w:t>
            </w:r>
            <w:r>
              <w:rPr>
                <w:rFonts w:hint="eastAsia" w:ascii="宋体" w:hAnsi="宋体" w:eastAsia="宋体" w:cs="宋体"/>
                <w:color w:val="auto"/>
                <w:kern w:val="0"/>
                <w:sz w:val="24"/>
                <w:highlight w:val="none"/>
                <w:lang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jc w:val="center"/>
        </w:trPr>
        <w:tc>
          <w:tcPr>
            <w:tcW w:w="12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20" w:lineRule="exact"/>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color w:val="auto"/>
                <w:kern w:val="0"/>
                <w:sz w:val="24"/>
                <w:highlight w:val="none"/>
                <w:lang w:bidi="ar"/>
              </w:rPr>
              <w:t>6.售后服务方案</w:t>
            </w:r>
          </w:p>
        </w:tc>
        <w:tc>
          <w:tcPr>
            <w:tcW w:w="82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400" w:lineRule="exact"/>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color w:val="auto"/>
                <w:kern w:val="0"/>
                <w:sz w:val="24"/>
                <w:highlight w:val="none"/>
                <w:lang w:bidi="ar"/>
              </w:rPr>
              <w:t>3</w:t>
            </w:r>
          </w:p>
        </w:tc>
        <w:tc>
          <w:tcPr>
            <w:tcW w:w="62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根据投标人提供的售后服务及培训方案进行评分，方案内容包括但不限于：</w:t>
            </w:r>
          </w:p>
          <w:p>
            <w:pPr>
              <w:widowControl/>
              <w:jc w:val="left"/>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（1）重点难点分析；</w:t>
            </w:r>
          </w:p>
          <w:p>
            <w:pPr>
              <w:widowControl/>
              <w:jc w:val="left"/>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（2）售后服务内容；</w:t>
            </w:r>
          </w:p>
          <w:p>
            <w:pPr>
              <w:widowControl/>
              <w:jc w:val="left"/>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（3）故障解决方案；</w:t>
            </w:r>
          </w:p>
          <w:p>
            <w:pPr>
              <w:widowControl/>
              <w:jc w:val="left"/>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（4）响应时间；</w:t>
            </w:r>
          </w:p>
          <w:p>
            <w:pPr>
              <w:widowControl/>
              <w:jc w:val="left"/>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（5）专业技术人员保障及服务电话</w:t>
            </w:r>
            <w:r>
              <w:rPr>
                <w:rFonts w:hint="eastAsia" w:ascii="宋体" w:hAnsi="宋体" w:eastAsia="宋体" w:cs="宋体"/>
                <w:color w:val="auto"/>
                <w:sz w:val="24"/>
                <w:highlight w:val="none"/>
                <w:lang w:eastAsia="zh-CN"/>
              </w:rPr>
              <w:t>。</w:t>
            </w:r>
          </w:p>
          <w:p>
            <w:pPr>
              <w:widowControl/>
              <w:jc w:val="left"/>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售后服务方案内容完善，合理性及针对性强，能够满足项目的采购需求的，得3分；</w:t>
            </w:r>
          </w:p>
          <w:p>
            <w:pPr>
              <w:widowControl/>
              <w:jc w:val="left"/>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售后服务方案内容较完善，合理性及针对性较强，能够基本满足项目的采购需求的，得2分；</w:t>
            </w:r>
          </w:p>
          <w:p>
            <w:pPr>
              <w:widowControl/>
              <w:jc w:val="left"/>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售后服务方案内容完善度较低，合理性及针对性较弱，得1分；</w:t>
            </w:r>
          </w:p>
          <w:p>
            <w:pPr>
              <w:widowControl/>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highlight w:val="none"/>
              </w:rPr>
              <w:t>未提供售后服务方案则本项不得分。</w:t>
            </w:r>
          </w:p>
        </w:tc>
      </w:tr>
    </w:tbl>
    <w:p>
      <w:pPr>
        <w:pStyle w:val="6"/>
        <w:ind w:left="0" w:leftChars="0" w:firstLine="0" w:firstLineChars="0"/>
        <w:rPr>
          <w:rFonts w:hint="eastAsia" w:ascii="黑体" w:hAnsi="黑体" w:eastAsia="黑体" w:cs="黑体"/>
          <w:sz w:val="21"/>
          <w:szCs w:val="21"/>
          <w:highlight w:val="none"/>
          <w:lang w:val="en-US" w:eastAsia="zh-CN"/>
        </w:rPr>
      </w:pPr>
    </w:p>
    <w:p>
      <w:pPr>
        <w:pStyle w:val="11"/>
        <w:keepNext w:val="0"/>
        <w:keepLines w:val="0"/>
        <w:widowControl/>
        <w:suppressLineNumbers w:val="0"/>
        <w:ind w:left="0" w:firstLine="480"/>
        <w:rPr>
          <w:highlight w:val="none"/>
        </w:rPr>
      </w:pPr>
      <w:r>
        <w:rPr>
          <w:rFonts w:hint="eastAsia" w:ascii="宋体" w:hAnsi="宋体" w:eastAsia="宋体" w:cs="宋体"/>
          <w:sz w:val="24"/>
          <w:szCs w:val="24"/>
          <w:highlight w:val="none"/>
        </w:rPr>
        <w:t>④加分项（</w:t>
      </w:r>
      <w:r>
        <w:rPr>
          <w:rFonts w:hint="default" w:ascii="Calibri" w:hAnsi="Calibri" w:eastAsia="宋体" w:cs="Calibri"/>
          <w:sz w:val="24"/>
          <w:szCs w:val="24"/>
          <w:highlight w:val="none"/>
        </w:rPr>
        <w:t>F4</w:t>
      </w:r>
      <w:r>
        <w:rPr>
          <w:rFonts w:hint="eastAsia" w:ascii="宋体" w:hAnsi="宋体" w:eastAsia="宋体" w:cs="宋体"/>
          <w:sz w:val="24"/>
          <w:szCs w:val="24"/>
          <w:highlight w:val="none"/>
        </w:rPr>
        <w:t>×</w:t>
      </w:r>
      <w:r>
        <w:rPr>
          <w:rFonts w:hint="default" w:ascii="Calibri" w:hAnsi="Calibri" w:eastAsia="宋体" w:cs="Calibri"/>
          <w:sz w:val="24"/>
          <w:szCs w:val="24"/>
          <w:highlight w:val="none"/>
        </w:rPr>
        <w:t>A4</w:t>
      </w:r>
      <w:r>
        <w:rPr>
          <w:rFonts w:hint="eastAsia" w:ascii="宋体" w:hAnsi="宋体" w:eastAsia="宋体" w:cs="宋体"/>
          <w:sz w:val="24"/>
          <w:szCs w:val="24"/>
          <w:highlight w:val="none"/>
        </w:rPr>
        <w:t>）</w:t>
      </w:r>
    </w:p>
    <w:p>
      <w:pPr>
        <w:pStyle w:val="11"/>
        <w:keepNext w:val="0"/>
        <w:keepLines w:val="0"/>
        <w:widowControl/>
        <w:suppressLineNumbers w:val="0"/>
        <w:ind w:left="0" w:firstLine="480"/>
        <w:rPr>
          <w:highlight w:val="none"/>
        </w:rPr>
      </w:pPr>
      <w:r>
        <w:rPr>
          <w:rFonts w:hint="eastAsia" w:ascii="宋体" w:hAnsi="宋体" w:eastAsia="宋体" w:cs="宋体"/>
          <w:sz w:val="24"/>
          <w:szCs w:val="24"/>
          <w:highlight w:val="none"/>
        </w:rPr>
        <w:t>a.优先类节能产品、环境标志产品：</w:t>
      </w:r>
    </w:p>
    <w:p>
      <w:pPr>
        <w:pStyle w:val="11"/>
        <w:keepNext w:val="0"/>
        <w:keepLines w:val="0"/>
        <w:widowControl/>
        <w:suppressLineNumbers w:val="0"/>
        <w:ind w:left="0" w:firstLine="480"/>
        <w:rPr>
          <w:highlight w:val="none"/>
        </w:rPr>
      </w:pPr>
      <w:r>
        <w:rPr>
          <w:rFonts w:hint="eastAsia" w:ascii="宋体" w:hAnsi="宋体" w:eastAsia="宋体" w:cs="宋体"/>
          <w:sz w:val="24"/>
          <w:szCs w:val="24"/>
          <w:highlight w:val="none"/>
        </w:rPr>
        <w:t>a1若同一合同包内节能、环境标志产品报价总金额低于该合同包报价总金额</w:t>
      </w:r>
      <w:r>
        <w:rPr>
          <w:rFonts w:hint="default" w:ascii="Calibri" w:hAnsi="Calibri" w:eastAsia="宋体" w:cs="Calibri"/>
          <w:sz w:val="24"/>
          <w:szCs w:val="24"/>
          <w:highlight w:val="none"/>
        </w:rPr>
        <w:t>20%</w:t>
      </w:r>
      <w:r>
        <w:rPr>
          <w:rFonts w:hint="eastAsia" w:ascii="宋体" w:hAnsi="宋体" w:eastAsia="宋体" w:cs="宋体"/>
          <w:sz w:val="24"/>
          <w:szCs w:val="24"/>
          <w:highlight w:val="none"/>
        </w:rPr>
        <w:t>（含</w:t>
      </w:r>
      <w:r>
        <w:rPr>
          <w:rFonts w:hint="default" w:ascii="Calibri" w:hAnsi="Calibri" w:eastAsia="宋体" w:cs="Calibri"/>
          <w:sz w:val="24"/>
          <w:szCs w:val="24"/>
          <w:highlight w:val="none"/>
        </w:rPr>
        <w:t>20%</w:t>
      </w:r>
      <w:r>
        <w:rPr>
          <w:rFonts w:hint="eastAsia" w:ascii="宋体" w:hAnsi="宋体" w:eastAsia="宋体" w:cs="宋体"/>
          <w:sz w:val="24"/>
          <w:szCs w:val="24"/>
          <w:highlight w:val="none"/>
        </w:rPr>
        <w:t>）以下，将分别给予节能、环境标志产品价格项（</w:t>
      </w:r>
      <w:r>
        <w:rPr>
          <w:rFonts w:hint="default" w:ascii="Calibri" w:hAnsi="Calibri" w:eastAsia="宋体" w:cs="Calibri"/>
          <w:sz w:val="24"/>
          <w:szCs w:val="24"/>
          <w:highlight w:val="none"/>
        </w:rPr>
        <w:t>F1</w:t>
      </w:r>
      <w:r>
        <w:rPr>
          <w:rFonts w:hint="eastAsia" w:ascii="宋体" w:hAnsi="宋体" w:eastAsia="宋体" w:cs="宋体"/>
          <w:sz w:val="24"/>
          <w:szCs w:val="24"/>
          <w:highlight w:val="none"/>
        </w:rPr>
        <w:t>×</w:t>
      </w:r>
      <w:r>
        <w:rPr>
          <w:rFonts w:hint="default" w:ascii="Calibri" w:hAnsi="Calibri" w:eastAsia="宋体" w:cs="Calibri"/>
          <w:sz w:val="24"/>
          <w:szCs w:val="24"/>
          <w:highlight w:val="none"/>
        </w:rPr>
        <w:t>A1</w:t>
      </w:r>
      <w:r>
        <w:rPr>
          <w:rFonts w:hint="eastAsia" w:ascii="宋体" w:hAnsi="宋体" w:eastAsia="宋体" w:cs="宋体"/>
          <w:sz w:val="24"/>
          <w:szCs w:val="24"/>
          <w:highlight w:val="none"/>
        </w:rPr>
        <w:t>，按照满分计）和技术项（</w:t>
      </w:r>
      <w:r>
        <w:rPr>
          <w:rFonts w:hint="default" w:ascii="Calibri" w:hAnsi="Calibri" w:eastAsia="宋体" w:cs="Calibri"/>
          <w:sz w:val="24"/>
          <w:szCs w:val="24"/>
          <w:highlight w:val="none"/>
        </w:rPr>
        <w:t>F2</w:t>
      </w:r>
      <w:r>
        <w:rPr>
          <w:rFonts w:hint="eastAsia" w:ascii="宋体" w:hAnsi="宋体" w:eastAsia="宋体" w:cs="宋体"/>
          <w:sz w:val="24"/>
          <w:szCs w:val="24"/>
          <w:highlight w:val="none"/>
        </w:rPr>
        <w:t>×</w:t>
      </w:r>
      <w:r>
        <w:rPr>
          <w:rFonts w:hint="default" w:ascii="Calibri" w:hAnsi="Calibri" w:eastAsia="宋体" w:cs="Calibri"/>
          <w:sz w:val="24"/>
          <w:szCs w:val="24"/>
          <w:highlight w:val="none"/>
        </w:rPr>
        <w:t>A2</w:t>
      </w:r>
      <w:r>
        <w:rPr>
          <w:rFonts w:hint="eastAsia" w:ascii="宋体" w:hAnsi="宋体" w:eastAsia="宋体" w:cs="宋体"/>
          <w:sz w:val="24"/>
          <w:szCs w:val="24"/>
          <w:highlight w:val="none"/>
        </w:rPr>
        <w:t>，按照满分计）</w:t>
      </w:r>
      <w:r>
        <w:rPr>
          <w:rFonts w:hint="default" w:ascii="Calibri" w:hAnsi="Calibri" w:eastAsia="宋体" w:cs="Calibri"/>
          <w:sz w:val="24"/>
          <w:szCs w:val="24"/>
          <w:highlight w:val="none"/>
        </w:rPr>
        <w:t>4%</w:t>
      </w:r>
      <w:r>
        <w:rPr>
          <w:rFonts w:hint="eastAsia" w:ascii="宋体" w:hAnsi="宋体" w:eastAsia="宋体" w:cs="宋体"/>
          <w:sz w:val="24"/>
          <w:szCs w:val="24"/>
          <w:highlight w:val="none"/>
        </w:rPr>
        <w:t>的加分；若同一合同包内节能、环境标志产品报价总金额占该合同包报价总金额</w:t>
      </w:r>
      <w:r>
        <w:rPr>
          <w:rFonts w:hint="default" w:ascii="Calibri" w:hAnsi="Calibri" w:eastAsia="宋体" w:cs="Calibri"/>
          <w:sz w:val="24"/>
          <w:szCs w:val="24"/>
          <w:highlight w:val="none"/>
        </w:rPr>
        <w:t>20%-50%</w:t>
      </w:r>
      <w:r>
        <w:rPr>
          <w:rFonts w:hint="eastAsia" w:ascii="宋体" w:hAnsi="宋体" w:eastAsia="宋体" w:cs="宋体"/>
          <w:sz w:val="24"/>
          <w:szCs w:val="24"/>
          <w:highlight w:val="none"/>
        </w:rPr>
        <w:t>（含</w:t>
      </w:r>
      <w:r>
        <w:rPr>
          <w:rFonts w:hint="default" w:ascii="Calibri" w:hAnsi="Calibri" w:eastAsia="宋体" w:cs="Calibri"/>
          <w:sz w:val="24"/>
          <w:szCs w:val="24"/>
          <w:highlight w:val="none"/>
        </w:rPr>
        <w:t>50%</w:t>
      </w:r>
      <w:r>
        <w:rPr>
          <w:rFonts w:hint="eastAsia" w:ascii="宋体" w:hAnsi="宋体" w:eastAsia="宋体" w:cs="宋体"/>
          <w:sz w:val="24"/>
          <w:szCs w:val="24"/>
          <w:highlight w:val="none"/>
        </w:rPr>
        <w:t>），将分别给予节能、环境标志产品价格项（</w:t>
      </w:r>
      <w:r>
        <w:rPr>
          <w:rFonts w:hint="default" w:ascii="Calibri" w:hAnsi="Calibri" w:eastAsia="宋体" w:cs="Calibri"/>
          <w:sz w:val="24"/>
          <w:szCs w:val="24"/>
          <w:highlight w:val="none"/>
        </w:rPr>
        <w:t>F1</w:t>
      </w:r>
      <w:r>
        <w:rPr>
          <w:rFonts w:hint="eastAsia" w:ascii="宋体" w:hAnsi="宋体" w:eastAsia="宋体" w:cs="宋体"/>
          <w:sz w:val="24"/>
          <w:szCs w:val="24"/>
          <w:highlight w:val="none"/>
        </w:rPr>
        <w:t>×</w:t>
      </w:r>
      <w:r>
        <w:rPr>
          <w:rFonts w:hint="default" w:ascii="Calibri" w:hAnsi="Calibri" w:eastAsia="宋体" w:cs="Calibri"/>
          <w:sz w:val="24"/>
          <w:szCs w:val="24"/>
          <w:highlight w:val="none"/>
        </w:rPr>
        <w:t>A1</w:t>
      </w:r>
      <w:r>
        <w:rPr>
          <w:rFonts w:hint="eastAsia" w:ascii="宋体" w:hAnsi="宋体" w:eastAsia="宋体" w:cs="宋体"/>
          <w:sz w:val="24"/>
          <w:szCs w:val="24"/>
          <w:highlight w:val="none"/>
        </w:rPr>
        <w:t>，按照满分计）和技术项（</w:t>
      </w:r>
      <w:r>
        <w:rPr>
          <w:rFonts w:hint="default" w:ascii="Calibri" w:hAnsi="Calibri" w:eastAsia="宋体" w:cs="Calibri"/>
          <w:sz w:val="24"/>
          <w:szCs w:val="24"/>
          <w:highlight w:val="none"/>
        </w:rPr>
        <w:t>F2</w:t>
      </w:r>
      <w:r>
        <w:rPr>
          <w:rFonts w:hint="eastAsia" w:ascii="宋体" w:hAnsi="宋体" w:eastAsia="宋体" w:cs="宋体"/>
          <w:sz w:val="24"/>
          <w:szCs w:val="24"/>
          <w:highlight w:val="none"/>
        </w:rPr>
        <w:t>×</w:t>
      </w:r>
      <w:r>
        <w:rPr>
          <w:rFonts w:hint="default" w:ascii="Calibri" w:hAnsi="Calibri" w:eastAsia="宋体" w:cs="Calibri"/>
          <w:sz w:val="24"/>
          <w:szCs w:val="24"/>
          <w:highlight w:val="none"/>
        </w:rPr>
        <w:t>A2</w:t>
      </w:r>
      <w:r>
        <w:rPr>
          <w:rFonts w:hint="eastAsia" w:ascii="宋体" w:hAnsi="宋体" w:eastAsia="宋体" w:cs="宋体"/>
          <w:sz w:val="24"/>
          <w:szCs w:val="24"/>
          <w:highlight w:val="none"/>
        </w:rPr>
        <w:t>，按照满分计）</w:t>
      </w:r>
      <w:r>
        <w:rPr>
          <w:rFonts w:hint="default" w:ascii="Calibri" w:hAnsi="Calibri" w:eastAsia="宋体" w:cs="Calibri"/>
          <w:sz w:val="24"/>
          <w:szCs w:val="24"/>
          <w:highlight w:val="none"/>
        </w:rPr>
        <w:t>6%</w:t>
      </w:r>
      <w:r>
        <w:rPr>
          <w:rFonts w:hint="eastAsia" w:ascii="宋体" w:hAnsi="宋体" w:eastAsia="宋体" w:cs="宋体"/>
          <w:sz w:val="24"/>
          <w:szCs w:val="24"/>
          <w:highlight w:val="none"/>
        </w:rPr>
        <w:t>的加分；若同一合同包内节能、环境标志产品报价总金额占该合同包报价总金额</w:t>
      </w:r>
      <w:r>
        <w:rPr>
          <w:rFonts w:hint="default" w:ascii="Calibri" w:hAnsi="Calibri" w:eastAsia="宋体" w:cs="Calibri"/>
          <w:sz w:val="24"/>
          <w:szCs w:val="24"/>
          <w:highlight w:val="none"/>
        </w:rPr>
        <w:t>50%</w:t>
      </w:r>
      <w:r>
        <w:rPr>
          <w:rFonts w:hint="eastAsia" w:ascii="宋体" w:hAnsi="宋体" w:eastAsia="宋体" w:cs="宋体"/>
          <w:sz w:val="24"/>
          <w:szCs w:val="24"/>
          <w:highlight w:val="none"/>
        </w:rPr>
        <w:t>以上的，将分别给予节能、环境标志产品价格项（</w:t>
      </w:r>
      <w:r>
        <w:rPr>
          <w:rFonts w:hint="default" w:ascii="Calibri" w:hAnsi="Calibri" w:eastAsia="宋体" w:cs="Calibri"/>
          <w:sz w:val="24"/>
          <w:szCs w:val="24"/>
          <w:highlight w:val="none"/>
        </w:rPr>
        <w:t>F1</w:t>
      </w:r>
      <w:r>
        <w:rPr>
          <w:rFonts w:hint="eastAsia" w:ascii="宋体" w:hAnsi="宋体" w:eastAsia="宋体" w:cs="宋体"/>
          <w:sz w:val="24"/>
          <w:szCs w:val="24"/>
          <w:highlight w:val="none"/>
        </w:rPr>
        <w:t>×</w:t>
      </w:r>
      <w:r>
        <w:rPr>
          <w:rFonts w:hint="default" w:ascii="Calibri" w:hAnsi="Calibri" w:eastAsia="宋体" w:cs="Calibri"/>
          <w:sz w:val="24"/>
          <w:szCs w:val="24"/>
          <w:highlight w:val="none"/>
        </w:rPr>
        <w:t>A1</w:t>
      </w:r>
      <w:r>
        <w:rPr>
          <w:rFonts w:hint="eastAsia" w:ascii="宋体" w:hAnsi="宋体" w:eastAsia="宋体" w:cs="宋体"/>
          <w:sz w:val="24"/>
          <w:szCs w:val="24"/>
          <w:highlight w:val="none"/>
        </w:rPr>
        <w:t>，按照满分计）和技术项（</w:t>
      </w:r>
      <w:r>
        <w:rPr>
          <w:rFonts w:hint="default" w:ascii="Calibri" w:hAnsi="Calibri" w:eastAsia="宋体" w:cs="Calibri"/>
          <w:sz w:val="24"/>
          <w:szCs w:val="24"/>
          <w:highlight w:val="none"/>
        </w:rPr>
        <w:t>F2</w:t>
      </w:r>
      <w:r>
        <w:rPr>
          <w:rFonts w:hint="eastAsia" w:ascii="宋体" w:hAnsi="宋体" w:eastAsia="宋体" w:cs="宋体"/>
          <w:sz w:val="24"/>
          <w:szCs w:val="24"/>
          <w:highlight w:val="none"/>
        </w:rPr>
        <w:t>×</w:t>
      </w:r>
      <w:r>
        <w:rPr>
          <w:rFonts w:hint="default" w:ascii="Calibri" w:hAnsi="Calibri" w:eastAsia="宋体" w:cs="Calibri"/>
          <w:sz w:val="24"/>
          <w:szCs w:val="24"/>
          <w:highlight w:val="none"/>
        </w:rPr>
        <w:t>A2</w:t>
      </w:r>
      <w:r>
        <w:rPr>
          <w:rFonts w:hint="eastAsia" w:ascii="宋体" w:hAnsi="宋体" w:eastAsia="宋体" w:cs="宋体"/>
          <w:sz w:val="24"/>
          <w:szCs w:val="24"/>
          <w:highlight w:val="none"/>
        </w:rPr>
        <w:t>，按照满分计）</w:t>
      </w:r>
      <w:r>
        <w:rPr>
          <w:rFonts w:hint="default" w:ascii="Calibri" w:hAnsi="Calibri" w:eastAsia="宋体" w:cs="Calibri"/>
          <w:sz w:val="24"/>
          <w:szCs w:val="24"/>
          <w:highlight w:val="none"/>
        </w:rPr>
        <w:t>8%</w:t>
      </w:r>
      <w:r>
        <w:rPr>
          <w:rFonts w:hint="eastAsia" w:ascii="宋体" w:hAnsi="宋体" w:eastAsia="宋体" w:cs="宋体"/>
          <w:sz w:val="24"/>
          <w:szCs w:val="24"/>
          <w:highlight w:val="none"/>
        </w:rPr>
        <w:t>的加分。</w:t>
      </w:r>
    </w:p>
    <w:p>
      <w:pPr>
        <w:pStyle w:val="11"/>
        <w:keepNext w:val="0"/>
        <w:keepLines w:val="0"/>
        <w:widowControl/>
        <w:suppressLineNumbers w:val="0"/>
        <w:ind w:left="0" w:firstLine="480"/>
        <w:rPr>
          <w:highlight w:val="none"/>
        </w:rPr>
      </w:pPr>
      <w:r>
        <w:rPr>
          <w:rFonts w:hint="eastAsia" w:ascii="宋体" w:hAnsi="宋体" w:eastAsia="宋体" w:cs="宋体"/>
          <w:sz w:val="24"/>
          <w:szCs w:val="24"/>
          <w:highlight w:val="none"/>
        </w:rPr>
        <w:t>a2若节能、环境标志产品仅是构成投标产品的部件、组件或零件，则该投标产品不享受鼓励优惠政策。同一品目中各认证证书不重复计算加分。强制类节能产品不享受加分。</w:t>
      </w:r>
    </w:p>
    <w:p>
      <w:pPr>
        <w:pStyle w:val="6"/>
        <w:ind w:left="0" w:leftChars="0" w:firstLine="0" w:firstLineChars="0"/>
        <w:rPr>
          <w:rFonts w:hint="eastAsia" w:ascii="黑体" w:hAnsi="黑体" w:eastAsia="黑体" w:cs="黑体"/>
          <w:sz w:val="21"/>
          <w:szCs w:val="21"/>
          <w:highlight w:val="none"/>
          <w:lang w:val="en-US" w:eastAsia="zh-CN"/>
        </w:rPr>
      </w:pPr>
    </w:p>
    <w:p>
      <w:pPr>
        <w:pStyle w:val="6"/>
        <w:ind w:left="0" w:leftChars="0" w:firstLine="0" w:firstLineChars="0"/>
        <w:rPr>
          <w:rFonts w:hint="eastAsia" w:ascii="黑体" w:hAnsi="黑体" w:eastAsia="黑体" w:cs="黑体"/>
          <w:sz w:val="21"/>
          <w:szCs w:val="21"/>
          <w:highlight w:val="none"/>
          <w:lang w:val="en-US" w:eastAsia="zh-CN"/>
        </w:rPr>
      </w:pPr>
    </w:p>
    <w:p>
      <w:pPr>
        <w:pStyle w:val="6"/>
        <w:ind w:left="0" w:leftChars="0" w:firstLine="0" w:firstLineChars="0"/>
        <w:rPr>
          <w:rFonts w:hint="eastAsia" w:ascii="黑体" w:hAnsi="黑体" w:eastAsia="黑体" w:cs="黑体"/>
          <w:sz w:val="21"/>
          <w:szCs w:val="21"/>
          <w:highlight w:val="none"/>
          <w:lang w:val="en-US" w:eastAsia="zh-CN"/>
        </w:rPr>
      </w:pPr>
    </w:p>
    <w:p>
      <w:pPr>
        <w:pStyle w:val="6"/>
        <w:ind w:left="0" w:leftChars="0" w:firstLine="0" w:firstLineChars="0"/>
        <w:rPr>
          <w:rFonts w:hint="eastAsia" w:ascii="黑体" w:hAnsi="黑体" w:eastAsia="黑体" w:cs="黑体"/>
          <w:sz w:val="21"/>
          <w:szCs w:val="21"/>
          <w:highlight w:val="none"/>
          <w:lang w:val="en-US" w:eastAsia="zh-CN"/>
        </w:rPr>
      </w:pPr>
    </w:p>
    <w:p>
      <w:pPr>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11"/>
        <w:keepNext w:val="0"/>
        <w:keepLines w:val="0"/>
        <w:widowControl/>
        <w:suppressLineNumbers w:val="0"/>
        <w:spacing w:before="75" w:beforeAutospacing="0" w:after="75" w:afterAutospacing="0"/>
        <w:ind w:left="0" w:right="0" w:firstLine="0"/>
        <w:jc w:val="left"/>
        <w:outlineLvl w:val="0"/>
        <w:rPr>
          <w:rStyle w:val="13"/>
          <w:rFonts w:hint="default" w:ascii="宋体" w:hAnsi="宋体" w:eastAsia="宋体" w:cs="宋体"/>
          <w:spacing w:val="0"/>
          <w:sz w:val="36"/>
          <w:szCs w:val="36"/>
          <w:highlight w:val="none"/>
          <w:lang w:val="en-US" w:eastAsia="zh-CN"/>
        </w:rPr>
      </w:pPr>
      <w:r>
        <w:rPr>
          <w:rStyle w:val="13"/>
          <w:rFonts w:hint="eastAsia" w:ascii="宋体" w:hAnsi="宋体" w:eastAsia="宋体" w:cs="宋体"/>
          <w:spacing w:val="0"/>
          <w:sz w:val="36"/>
          <w:szCs w:val="36"/>
          <w:highlight w:val="none"/>
          <w:lang w:val="en-US" w:eastAsia="zh-CN"/>
        </w:rPr>
        <w:t>附件：</w:t>
      </w:r>
    </w:p>
    <w:p>
      <w:pPr>
        <w:pStyle w:val="11"/>
        <w:keepNext w:val="0"/>
        <w:keepLines w:val="0"/>
        <w:widowControl/>
        <w:suppressLineNumbers w:val="0"/>
        <w:spacing w:before="75" w:beforeAutospacing="0" w:after="75" w:afterAutospacing="0"/>
        <w:ind w:left="0" w:right="0" w:firstLine="0"/>
        <w:jc w:val="center"/>
        <w:outlineLvl w:val="0"/>
        <w:rPr>
          <w:highlight w:val="none"/>
        </w:rPr>
      </w:pPr>
      <w:r>
        <w:rPr>
          <w:rStyle w:val="13"/>
          <w:rFonts w:hint="eastAsia" w:ascii="宋体" w:hAnsi="宋体" w:eastAsia="宋体" w:cs="宋体"/>
          <w:spacing w:val="0"/>
          <w:sz w:val="36"/>
          <w:szCs w:val="36"/>
          <w:highlight w:val="none"/>
        </w:rPr>
        <w:t>采购内容及要求</w:t>
      </w:r>
    </w:p>
    <w:p>
      <w:pPr>
        <w:pStyle w:val="11"/>
        <w:keepNext w:val="0"/>
        <w:keepLines w:val="0"/>
        <w:widowControl/>
        <w:suppressLineNumbers w:val="0"/>
        <w:spacing w:before="75" w:beforeAutospacing="0" w:after="75" w:afterAutospacing="0" w:line="435" w:lineRule="atLeast"/>
        <w:ind w:left="0" w:right="0" w:firstLine="0"/>
        <w:rPr>
          <w:highlight w:val="none"/>
        </w:rPr>
      </w:pPr>
      <w:r>
        <w:rPr>
          <w:rFonts w:hint="eastAsia" w:ascii="宋体" w:hAnsi="宋体" w:eastAsia="宋体" w:cs="宋体"/>
          <w:spacing w:val="0"/>
          <w:sz w:val="24"/>
          <w:szCs w:val="24"/>
          <w:highlight w:val="none"/>
        </w:rPr>
        <w:t> </w:t>
      </w:r>
    </w:p>
    <w:p>
      <w:pPr>
        <w:pStyle w:val="11"/>
        <w:keepNext w:val="0"/>
        <w:keepLines w:val="0"/>
        <w:widowControl/>
        <w:suppressLineNumbers w:val="0"/>
        <w:spacing w:before="75" w:beforeAutospacing="0" w:after="75" w:afterAutospacing="0"/>
        <w:ind w:left="0" w:right="0" w:firstLine="0"/>
        <w:outlineLvl w:val="1"/>
        <w:rPr>
          <w:highlight w:val="none"/>
        </w:rPr>
      </w:pPr>
      <w:r>
        <w:rPr>
          <w:rFonts w:ascii="sans-serif" w:hAnsi="sans-serif" w:eastAsia="sans-serif" w:cs="sans-serif"/>
          <w:spacing w:val="0"/>
          <w:sz w:val="24"/>
          <w:szCs w:val="24"/>
          <w:highlight w:val="none"/>
        </w:rPr>
        <w:t>一、</w:t>
      </w:r>
      <w:r>
        <w:rPr>
          <w:spacing w:val="0"/>
          <w:sz w:val="24"/>
          <w:szCs w:val="24"/>
          <w:highlight w:val="none"/>
        </w:rPr>
        <w:t>项目概况</w:t>
      </w:r>
    </w:p>
    <w:p>
      <w:pPr>
        <w:pStyle w:val="11"/>
        <w:keepNext w:val="0"/>
        <w:keepLines w:val="0"/>
        <w:widowControl/>
        <w:suppressLineNumbers w:val="0"/>
        <w:ind w:left="0" w:firstLine="555"/>
        <w:outlineLvl w:val="2"/>
        <w:rPr>
          <w:highlight w:val="none"/>
        </w:rPr>
      </w:pPr>
      <w:r>
        <w:rPr>
          <w:rStyle w:val="13"/>
          <w:rFonts w:hint="eastAsia" w:ascii="宋体" w:hAnsi="宋体" w:eastAsia="宋体" w:cs="宋体"/>
          <w:sz w:val="24"/>
          <w:szCs w:val="24"/>
          <w:highlight w:val="none"/>
        </w:rPr>
        <w:t>1.项目概述</w:t>
      </w:r>
    </w:p>
    <w:p>
      <w:pPr>
        <w:pStyle w:val="11"/>
        <w:keepNext w:val="0"/>
        <w:keepLines w:val="0"/>
        <w:widowControl/>
        <w:numPr>
          <w:ilvl w:val="0"/>
          <w:numId w:val="0"/>
        </w:numPr>
        <w:suppressLineNumbers w:val="0"/>
        <w:ind w:right="0" w:rightChars="0" w:firstLine="480" w:firstLineChars="200"/>
        <w:outlineLvl w:val="2"/>
        <w:rPr>
          <w:rStyle w:val="13"/>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w:t>
      </w:r>
      <w:r>
        <w:rPr>
          <w:rFonts w:hint="eastAsia" w:ascii="宋体" w:hAnsi="宋体" w:eastAsia="宋体" w:cs="宋体"/>
          <w:sz w:val="24"/>
          <w:szCs w:val="24"/>
          <w:highlight w:val="none"/>
        </w:rPr>
        <w:t>《国家中长期教育改革和发展规划纲要（2010-2020）》、《教育信息化“十三五”规划》、《教育信息化2.0行动计划》、《教育部等九部门关于印发《职业教育提质培优行动计划（2020—2023年）》的通知》、《关于加快推进现代职业教育体系建设改革重点任务的通知》等政策</w:t>
      </w:r>
      <w:r>
        <w:rPr>
          <w:rFonts w:hint="eastAsia" w:ascii="宋体" w:hAnsi="宋体" w:eastAsia="宋体" w:cs="宋体"/>
          <w:sz w:val="24"/>
          <w:szCs w:val="24"/>
          <w:highlight w:val="none"/>
          <w:lang w:eastAsia="zh-CN"/>
        </w:rPr>
        <w:t>，以先进、完善的实训条件为基础，以新一代信息技术为支撑，利用AR、VR、MR多形态虚拟仿真设备，及时将企业新理念、新知识、新技术新工艺充实到职业院校实训教学中来，以课程与岗位精准对接，校企合作开发</w:t>
      </w:r>
      <w:r>
        <w:rPr>
          <w:rFonts w:hint="eastAsia" w:ascii="宋体" w:hAnsi="宋体" w:eastAsia="宋体" w:cs="宋体"/>
          <w:sz w:val="24"/>
          <w:szCs w:val="24"/>
          <w:highlight w:val="none"/>
          <w:lang w:val="en-US" w:eastAsia="zh-CN"/>
        </w:rPr>
        <w:t>建设公共安全虚拟仿真项目。</w:t>
      </w:r>
    </w:p>
    <w:p>
      <w:pPr>
        <w:pStyle w:val="4"/>
        <w:ind w:firstLine="420" w:firstLineChars="0"/>
        <w:rPr>
          <w:rStyle w:val="13"/>
          <w:rFonts w:hint="eastAsia" w:ascii="宋体" w:hAnsi="宋体" w:eastAsia="宋体" w:cs="宋体"/>
          <w:b/>
          <w:sz w:val="24"/>
          <w:szCs w:val="24"/>
          <w:highlight w:val="none"/>
          <w:lang w:eastAsia="zh-CN"/>
        </w:rPr>
      </w:pPr>
      <w:r>
        <w:rPr>
          <w:rStyle w:val="13"/>
          <w:rFonts w:hint="eastAsia" w:cs="宋体"/>
          <w:b/>
          <w:sz w:val="24"/>
          <w:szCs w:val="24"/>
          <w:highlight w:val="none"/>
          <w:lang w:val="en-US" w:eastAsia="zh-CN"/>
        </w:rPr>
        <w:t>2.</w:t>
      </w:r>
      <w:r>
        <w:rPr>
          <w:rFonts w:hint="eastAsia" w:ascii="宋体" w:hAnsi="宋体" w:eastAsia="宋体" w:cs="宋体"/>
          <w:sz w:val="24"/>
          <w:szCs w:val="24"/>
          <w:highlight w:val="none"/>
          <w:lang w:eastAsia="zh-CN"/>
        </w:rPr>
        <w:t>公共安全虚拟仿真项目</w:t>
      </w:r>
      <w:r>
        <w:rPr>
          <w:rStyle w:val="13"/>
          <w:rFonts w:hint="eastAsia" w:ascii="宋体" w:hAnsi="宋体" w:eastAsia="宋体" w:cs="宋体"/>
          <w:b/>
          <w:sz w:val="24"/>
          <w:szCs w:val="24"/>
          <w:highlight w:val="none"/>
          <w:lang w:val="en-US" w:eastAsia="zh-CN"/>
        </w:rPr>
        <w:t>建设</w:t>
      </w:r>
      <w:r>
        <w:rPr>
          <w:rStyle w:val="13"/>
          <w:rFonts w:hint="eastAsia" w:ascii="宋体" w:hAnsi="宋体" w:eastAsia="宋体" w:cs="宋体"/>
          <w:b/>
          <w:sz w:val="24"/>
          <w:szCs w:val="24"/>
          <w:highlight w:val="none"/>
          <w:lang w:eastAsia="zh-CN"/>
        </w:rPr>
        <w:t>内容</w:t>
      </w:r>
    </w:p>
    <w:tbl>
      <w:tblPr>
        <w:tblStyle w:val="14"/>
        <w:tblW w:w="7609" w:type="dxa"/>
        <w:tblInd w:w="9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Layout w:type="fixed"/>
        <w:tblCellMar>
          <w:top w:w="0" w:type="dxa"/>
          <w:left w:w="108" w:type="dxa"/>
          <w:bottom w:w="0" w:type="dxa"/>
          <w:right w:w="108" w:type="dxa"/>
        </w:tblCellMar>
      </w:tblPr>
      <w:tblGrid>
        <w:gridCol w:w="960"/>
        <w:gridCol w:w="4345"/>
        <w:gridCol w:w="960"/>
        <w:gridCol w:w="134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Layout w:type="fixed"/>
          <w:tblCellMar>
            <w:top w:w="0" w:type="dxa"/>
            <w:left w:w="108" w:type="dxa"/>
            <w:bottom w:w="0" w:type="dxa"/>
            <w:right w:w="108" w:type="dxa"/>
          </w:tblCellMar>
        </w:tblPrEx>
        <w:trPr>
          <w:trHeight w:val="303" w:hRule="atLeast"/>
        </w:trPr>
        <w:tc>
          <w:tcPr>
            <w:tcW w:w="960" w:type="dxa"/>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highlight w:val="none"/>
                <w:u w:val="none"/>
                <w:lang w:val="en-US" w:eastAsia="zh-CN"/>
              </w:rPr>
            </w:pPr>
            <w:r>
              <w:rPr>
                <w:rFonts w:hint="eastAsia" w:ascii="黑体" w:hAnsi="宋体" w:eastAsia="黑体" w:cs="黑体"/>
                <w:i w:val="0"/>
                <w:iCs w:val="0"/>
                <w:color w:val="000000"/>
                <w:sz w:val="21"/>
                <w:szCs w:val="21"/>
                <w:highlight w:val="none"/>
                <w:u w:val="none"/>
                <w:lang w:val="en-US" w:eastAsia="zh-CN"/>
              </w:rPr>
              <w:t>序号</w:t>
            </w:r>
          </w:p>
        </w:tc>
        <w:tc>
          <w:tcPr>
            <w:tcW w:w="4345" w:type="dxa"/>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highlight w:val="none"/>
                <w:u w:val="none"/>
                <w:lang w:val="en-US" w:eastAsia="zh-CN"/>
              </w:rPr>
            </w:pPr>
            <w:r>
              <w:rPr>
                <w:rFonts w:hint="eastAsia" w:ascii="黑体" w:hAnsi="宋体" w:eastAsia="黑体" w:cs="黑体"/>
                <w:i w:val="0"/>
                <w:iCs w:val="0"/>
                <w:color w:val="000000"/>
                <w:sz w:val="21"/>
                <w:szCs w:val="21"/>
                <w:highlight w:val="none"/>
                <w:u w:val="none"/>
                <w:lang w:val="en-US" w:eastAsia="zh-CN"/>
              </w:rPr>
              <w:t>设备名称</w:t>
            </w:r>
          </w:p>
        </w:tc>
        <w:tc>
          <w:tcPr>
            <w:tcW w:w="960" w:type="dxa"/>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highlight w:val="none"/>
                <w:u w:val="none"/>
                <w:lang w:val="en-US" w:eastAsia="zh-CN"/>
              </w:rPr>
            </w:pPr>
            <w:r>
              <w:rPr>
                <w:rFonts w:hint="eastAsia" w:ascii="黑体" w:hAnsi="宋体" w:eastAsia="黑体" w:cs="黑体"/>
                <w:i w:val="0"/>
                <w:iCs w:val="0"/>
                <w:color w:val="000000"/>
                <w:sz w:val="21"/>
                <w:szCs w:val="21"/>
                <w:highlight w:val="none"/>
                <w:u w:val="none"/>
                <w:lang w:val="en-US" w:eastAsia="zh-CN"/>
              </w:rPr>
              <w:t>单位</w:t>
            </w:r>
          </w:p>
        </w:tc>
        <w:tc>
          <w:tcPr>
            <w:tcW w:w="1344" w:type="dxa"/>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highlight w:val="none"/>
                <w:u w:val="none"/>
                <w:lang w:val="en-US" w:eastAsia="zh-CN"/>
              </w:rPr>
            </w:pPr>
            <w:r>
              <w:rPr>
                <w:rFonts w:hint="eastAsia" w:ascii="黑体" w:hAnsi="宋体" w:eastAsia="黑体" w:cs="黑体"/>
                <w:i w:val="0"/>
                <w:iCs w:val="0"/>
                <w:color w:val="000000"/>
                <w:sz w:val="21"/>
                <w:szCs w:val="21"/>
                <w:highlight w:val="none"/>
                <w:u w:val="none"/>
                <w:lang w:val="en-US" w:eastAsia="zh-CN"/>
              </w:rPr>
              <w:t>数量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03" w:hRule="atLeast"/>
        </w:trPr>
        <w:tc>
          <w:tcPr>
            <w:tcW w:w="960" w:type="dxa"/>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highlight w:val="none"/>
                <w:u w:val="none"/>
                <w:lang w:val="en-US" w:eastAsia="zh-CN"/>
              </w:rPr>
            </w:pPr>
            <w:r>
              <w:rPr>
                <w:rFonts w:hint="eastAsia" w:ascii="黑体" w:hAnsi="宋体" w:eastAsia="黑体" w:cs="黑体"/>
                <w:i w:val="0"/>
                <w:iCs w:val="0"/>
                <w:color w:val="000000"/>
                <w:sz w:val="21"/>
                <w:szCs w:val="21"/>
                <w:highlight w:val="none"/>
                <w:u w:val="none"/>
                <w:lang w:val="en-US" w:eastAsia="zh-CN"/>
              </w:rPr>
              <w:t>1</w:t>
            </w:r>
          </w:p>
        </w:tc>
        <w:tc>
          <w:tcPr>
            <w:tcW w:w="4345"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highlight w:val="none"/>
                <w:u w:val="none"/>
                <w:lang w:val="en-US" w:eastAsia="zh-CN"/>
              </w:rPr>
            </w:pPr>
            <w:r>
              <w:rPr>
                <w:rFonts w:hint="eastAsia" w:ascii="黑体" w:hAnsi="宋体" w:eastAsia="黑体" w:cs="黑体"/>
                <w:i w:val="0"/>
                <w:iCs w:val="0"/>
                <w:color w:val="000000"/>
                <w:sz w:val="21"/>
                <w:szCs w:val="21"/>
                <w:highlight w:val="none"/>
                <w:u w:val="none"/>
                <w:lang w:val="en-US" w:eastAsia="zh-CN"/>
              </w:rPr>
              <w:t>桌面VR一体机（核心产品）</w:t>
            </w:r>
          </w:p>
        </w:tc>
        <w:tc>
          <w:tcPr>
            <w:tcW w:w="960" w:type="dxa"/>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highlight w:val="none"/>
                <w:u w:val="none"/>
                <w:lang w:val="en-US" w:eastAsia="zh-CN"/>
              </w:rPr>
            </w:pPr>
            <w:r>
              <w:rPr>
                <w:rFonts w:hint="eastAsia" w:ascii="黑体" w:hAnsi="宋体" w:eastAsia="黑体" w:cs="黑体"/>
                <w:i w:val="0"/>
                <w:iCs w:val="0"/>
                <w:color w:val="000000"/>
                <w:sz w:val="21"/>
                <w:szCs w:val="21"/>
                <w:highlight w:val="none"/>
                <w:u w:val="none"/>
                <w:lang w:val="en-US" w:eastAsia="zh-CN"/>
              </w:rPr>
              <w:t>台</w:t>
            </w:r>
          </w:p>
        </w:tc>
        <w:tc>
          <w:tcPr>
            <w:tcW w:w="1344" w:type="dxa"/>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1"/>
                <w:szCs w:val="21"/>
                <w:highlight w:val="none"/>
                <w:u w:val="none"/>
                <w:lang w:val="en-US" w:eastAsia="zh-CN"/>
              </w:rPr>
            </w:pPr>
            <w:r>
              <w:rPr>
                <w:rFonts w:hint="eastAsia" w:ascii="黑体" w:hAnsi="宋体" w:eastAsia="黑体" w:cs="黑体"/>
                <w:i w:val="0"/>
                <w:iCs w:val="0"/>
                <w:color w:val="000000"/>
                <w:sz w:val="21"/>
                <w:szCs w:val="21"/>
                <w:highlight w:val="none"/>
                <w:u w:val="none"/>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03" w:hRule="atLeast"/>
        </w:trPr>
        <w:tc>
          <w:tcPr>
            <w:tcW w:w="960" w:type="dxa"/>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1"/>
                <w:szCs w:val="21"/>
                <w:highlight w:val="none"/>
                <w:u w:val="none"/>
                <w:lang w:val="en-US" w:eastAsia="zh-CN"/>
              </w:rPr>
            </w:pPr>
            <w:r>
              <w:rPr>
                <w:rFonts w:hint="eastAsia" w:ascii="黑体" w:hAnsi="宋体" w:eastAsia="黑体" w:cs="黑体"/>
                <w:i w:val="0"/>
                <w:iCs w:val="0"/>
                <w:color w:val="000000"/>
                <w:sz w:val="21"/>
                <w:szCs w:val="21"/>
                <w:highlight w:val="none"/>
                <w:u w:val="none"/>
                <w:lang w:val="en-US" w:eastAsia="zh-CN"/>
              </w:rPr>
              <w:t>2</w:t>
            </w:r>
          </w:p>
        </w:tc>
        <w:tc>
          <w:tcPr>
            <w:tcW w:w="4345"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highlight w:val="none"/>
                <w:u w:val="none"/>
                <w:lang w:val="en-US" w:eastAsia="zh-CN"/>
              </w:rPr>
            </w:pPr>
            <w:r>
              <w:rPr>
                <w:rFonts w:hint="eastAsia" w:ascii="黑体" w:hAnsi="宋体" w:eastAsia="黑体" w:cs="黑体"/>
                <w:i w:val="0"/>
                <w:iCs w:val="0"/>
                <w:color w:val="000000"/>
                <w:sz w:val="21"/>
                <w:szCs w:val="21"/>
                <w:highlight w:val="none"/>
                <w:u w:val="none"/>
                <w:lang w:val="en-US" w:eastAsia="zh-CN"/>
              </w:rPr>
              <w:t>虚拟仿真安全课程资源库</w:t>
            </w:r>
          </w:p>
        </w:tc>
        <w:tc>
          <w:tcPr>
            <w:tcW w:w="960" w:type="dxa"/>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1"/>
                <w:szCs w:val="21"/>
                <w:highlight w:val="none"/>
                <w:u w:val="none"/>
                <w:lang w:val="en-US" w:eastAsia="zh-CN"/>
              </w:rPr>
            </w:pPr>
            <w:r>
              <w:rPr>
                <w:rFonts w:hint="eastAsia" w:ascii="黑体" w:hAnsi="宋体" w:eastAsia="黑体" w:cs="黑体"/>
                <w:i w:val="0"/>
                <w:iCs w:val="0"/>
                <w:color w:val="000000"/>
                <w:sz w:val="21"/>
                <w:szCs w:val="21"/>
                <w:highlight w:val="none"/>
                <w:u w:val="none"/>
                <w:lang w:val="en-US" w:eastAsia="zh-CN"/>
              </w:rPr>
              <w:t>套</w:t>
            </w:r>
          </w:p>
        </w:tc>
        <w:tc>
          <w:tcPr>
            <w:tcW w:w="1344" w:type="dxa"/>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highlight w:val="none"/>
                <w:u w:val="none"/>
                <w:lang w:val="en-US" w:eastAsia="zh-CN"/>
              </w:rPr>
            </w:pPr>
            <w:r>
              <w:rPr>
                <w:rFonts w:hint="eastAsia" w:ascii="黑体" w:hAnsi="宋体" w:eastAsia="黑体" w:cs="黑体"/>
                <w:i w:val="0"/>
                <w:iCs w:val="0"/>
                <w:color w:val="000000"/>
                <w:sz w:val="21"/>
                <w:szCs w:val="21"/>
                <w:highlight w:val="none"/>
                <w:u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03" w:hRule="atLeast"/>
        </w:trPr>
        <w:tc>
          <w:tcPr>
            <w:tcW w:w="960" w:type="dxa"/>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1"/>
                <w:szCs w:val="21"/>
                <w:highlight w:val="none"/>
                <w:u w:val="none"/>
                <w:lang w:val="en-US" w:eastAsia="zh-CN"/>
              </w:rPr>
            </w:pPr>
            <w:r>
              <w:rPr>
                <w:rFonts w:hint="eastAsia" w:ascii="黑体" w:hAnsi="宋体" w:eastAsia="黑体" w:cs="黑体"/>
                <w:i w:val="0"/>
                <w:iCs w:val="0"/>
                <w:color w:val="000000"/>
                <w:sz w:val="21"/>
                <w:szCs w:val="21"/>
                <w:highlight w:val="none"/>
                <w:u w:val="none"/>
                <w:lang w:val="en-US" w:eastAsia="zh-CN"/>
              </w:rPr>
              <w:t>3</w:t>
            </w:r>
          </w:p>
        </w:tc>
        <w:tc>
          <w:tcPr>
            <w:tcW w:w="4345"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highlight w:val="none"/>
                <w:u w:val="none"/>
                <w:lang w:val="en-US" w:eastAsia="zh-CN"/>
              </w:rPr>
            </w:pPr>
            <w:r>
              <w:rPr>
                <w:rFonts w:hint="eastAsia" w:ascii="黑体" w:hAnsi="宋体" w:eastAsia="黑体" w:cs="黑体"/>
                <w:i w:val="0"/>
                <w:iCs w:val="0"/>
                <w:color w:val="000000"/>
                <w:sz w:val="21"/>
                <w:szCs w:val="21"/>
                <w:highlight w:val="none"/>
                <w:u w:val="none"/>
                <w:lang w:val="en-US" w:eastAsia="zh-CN"/>
              </w:rPr>
              <w:t>数字教材教学应用开发</w:t>
            </w:r>
          </w:p>
        </w:tc>
        <w:tc>
          <w:tcPr>
            <w:tcW w:w="960" w:type="dxa"/>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highlight w:val="none"/>
                <w:u w:val="none"/>
                <w:lang w:val="en-US" w:eastAsia="zh-CN"/>
              </w:rPr>
            </w:pPr>
            <w:r>
              <w:rPr>
                <w:rFonts w:hint="eastAsia" w:ascii="黑体" w:hAnsi="宋体" w:eastAsia="黑体" w:cs="黑体"/>
                <w:i w:val="0"/>
                <w:iCs w:val="0"/>
                <w:color w:val="000000"/>
                <w:sz w:val="21"/>
                <w:szCs w:val="21"/>
                <w:highlight w:val="none"/>
                <w:u w:val="none"/>
                <w:lang w:val="en-US" w:eastAsia="zh-CN"/>
              </w:rPr>
              <w:t>套</w:t>
            </w:r>
          </w:p>
        </w:tc>
        <w:tc>
          <w:tcPr>
            <w:tcW w:w="1344" w:type="dxa"/>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highlight w:val="none"/>
                <w:u w:val="none"/>
                <w:lang w:val="en-US" w:eastAsia="zh-CN"/>
              </w:rPr>
            </w:pPr>
            <w:r>
              <w:rPr>
                <w:rFonts w:hint="eastAsia" w:ascii="黑体" w:hAnsi="宋体" w:eastAsia="黑体" w:cs="黑体"/>
                <w:i w:val="0"/>
                <w:iCs w:val="0"/>
                <w:color w:val="000000"/>
                <w:sz w:val="21"/>
                <w:szCs w:val="21"/>
                <w:highlight w:val="none"/>
                <w:u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03" w:hRule="atLeast"/>
        </w:trPr>
        <w:tc>
          <w:tcPr>
            <w:tcW w:w="960" w:type="dxa"/>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highlight w:val="none"/>
                <w:u w:val="none"/>
                <w:lang w:val="en-US" w:eastAsia="zh-CN"/>
              </w:rPr>
            </w:pPr>
            <w:r>
              <w:rPr>
                <w:rFonts w:hint="eastAsia" w:ascii="黑体" w:hAnsi="宋体" w:eastAsia="黑体" w:cs="黑体"/>
                <w:i w:val="0"/>
                <w:iCs w:val="0"/>
                <w:color w:val="000000"/>
                <w:sz w:val="21"/>
                <w:szCs w:val="21"/>
                <w:highlight w:val="none"/>
                <w:u w:val="none"/>
                <w:lang w:val="en-US" w:eastAsia="zh-CN"/>
              </w:rPr>
              <w:t>4</w:t>
            </w:r>
          </w:p>
        </w:tc>
        <w:tc>
          <w:tcPr>
            <w:tcW w:w="4345" w:type="dxa"/>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1"/>
                <w:szCs w:val="21"/>
                <w:highlight w:val="none"/>
                <w:u w:val="none"/>
                <w:lang w:val="en-US" w:eastAsia="zh-CN"/>
              </w:rPr>
            </w:pPr>
            <w:r>
              <w:rPr>
                <w:rFonts w:hint="eastAsia" w:ascii="黑体" w:hAnsi="宋体" w:eastAsia="黑体" w:cs="黑体"/>
                <w:i w:val="0"/>
                <w:iCs w:val="0"/>
                <w:color w:val="000000"/>
                <w:sz w:val="21"/>
                <w:szCs w:val="21"/>
                <w:highlight w:val="none"/>
                <w:u w:val="none"/>
                <w:lang w:val="en-US" w:eastAsia="zh-CN"/>
              </w:rPr>
              <w:t>省级精品课程建设开发</w:t>
            </w:r>
          </w:p>
        </w:tc>
        <w:tc>
          <w:tcPr>
            <w:tcW w:w="960" w:type="dxa"/>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1"/>
                <w:szCs w:val="21"/>
                <w:highlight w:val="none"/>
                <w:u w:val="none"/>
                <w:lang w:val="en-US" w:eastAsia="zh-CN"/>
              </w:rPr>
            </w:pPr>
            <w:r>
              <w:rPr>
                <w:rFonts w:hint="eastAsia" w:ascii="黑体" w:hAnsi="宋体" w:eastAsia="黑体" w:cs="黑体"/>
                <w:i w:val="0"/>
                <w:iCs w:val="0"/>
                <w:color w:val="000000"/>
                <w:sz w:val="21"/>
                <w:szCs w:val="21"/>
                <w:highlight w:val="none"/>
                <w:u w:val="none"/>
                <w:lang w:val="en-US" w:eastAsia="zh-CN"/>
              </w:rPr>
              <w:t>门</w:t>
            </w:r>
          </w:p>
        </w:tc>
        <w:tc>
          <w:tcPr>
            <w:tcW w:w="1344" w:type="dxa"/>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highlight w:val="none"/>
                <w:u w:val="none"/>
                <w:lang w:val="en-US" w:eastAsia="zh-CN"/>
              </w:rPr>
            </w:pPr>
            <w:r>
              <w:rPr>
                <w:rFonts w:hint="eastAsia" w:ascii="黑体" w:hAnsi="宋体" w:eastAsia="黑体" w:cs="黑体"/>
                <w:i w:val="0"/>
                <w:iCs w:val="0"/>
                <w:color w:val="000000"/>
                <w:sz w:val="21"/>
                <w:szCs w:val="21"/>
                <w:highlight w:val="none"/>
                <w:u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Layout w:type="fixed"/>
          <w:tblCellMar>
            <w:top w:w="0" w:type="dxa"/>
            <w:left w:w="108" w:type="dxa"/>
            <w:bottom w:w="0" w:type="dxa"/>
            <w:right w:w="108" w:type="dxa"/>
          </w:tblCellMar>
        </w:tblPrEx>
        <w:trPr>
          <w:trHeight w:val="303" w:hRule="atLeast"/>
        </w:trPr>
        <w:tc>
          <w:tcPr>
            <w:tcW w:w="960" w:type="dxa"/>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1"/>
                <w:szCs w:val="21"/>
                <w:highlight w:val="none"/>
                <w:u w:val="none"/>
                <w:lang w:val="en-US" w:eastAsia="zh-CN"/>
              </w:rPr>
            </w:pPr>
            <w:r>
              <w:rPr>
                <w:rFonts w:hint="eastAsia" w:ascii="黑体" w:hAnsi="宋体" w:eastAsia="黑体" w:cs="黑体"/>
                <w:i w:val="0"/>
                <w:iCs w:val="0"/>
                <w:color w:val="000000"/>
                <w:sz w:val="21"/>
                <w:szCs w:val="21"/>
                <w:highlight w:val="none"/>
                <w:u w:val="none"/>
                <w:lang w:val="en-US" w:eastAsia="zh-CN"/>
              </w:rPr>
              <w:t>5</w:t>
            </w:r>
          </w:p>
        </w:tc>
        <w:tc>
          <w:tcPr>
            <w:tcW w:w="4345" w:type="dxa"/>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1"/>
                <w:szCs w:val="21"/>
                <w:highlight w:val="none"/>
                <w:u w:val="none"/>
                <w:lang w:val="en-US" w:eastAsia="zh-CN"/>
              </w:rPr>
            </w:pPr>
            <w:r>
              <w:rPr>
                <w:rFonts w:hint="eastAsia" w:ascii="黑体" w:hAnsi="宋体" w:eastAsia="黑体" w:cs="黑体"/>
                <w:i w:val="0"/>
                <w:iCs w:val="0"/>
                <w:color w:val="000000"/>
                <w:sz w:val="21"/>
                <w:szCs w:val="21"/>
                <w:highlight w:val="none"/>
                <w:u w:val="none"/>
                <w:lang w:val="en-US" w:eastAsia="zh-CN"/>
              </w:rPr>
              <w:t>国家级规划教材建设</w:t>
            </w:r>
          </w:p>
        </w:tc>
        <w:tc>
          <w:tcPr>
            <w:tcW w:w="960" w:type="dxa"/>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1"/>
                <w:szCs w:val="21"/>
                <w:highlight w:val="none"/>
                <w:u w:val="none"/>
                <w:lang w:val="en-US" w:eastAsia="zh-CN"/>
              </w:rPr>
            </w:pPr>
            <w:r>
              <w:rPr>
                <w:rFonts w:hint="eastAsia" w:ascii="黑体" w:hAnsi="宋体" w:eastAsia="黑体" w:cs="黑体"/>
                <w:i w:val="0"/>
                <w:iCs w:val="0"/>
                <w:color w:val="000000"/>
                <w:sz w:val="21"/>
                <w:szCs w:val="21"/>
                <w:highlight w:val="none"/>
                <w:u w:val="none"/>
                <w:lang w:val="en-US" w:eastAsia="zh-CN"/>
              </w:rPr>
              <w:t>本</w:t>
            </w:r>
          </w:p>
        </w:tc>
        <w:tc>
          <w:tcPr>
            <w:tcW w:w="1344" w:type="dxa"/>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1"/>
                <w:szCs w:val="21"/>
                <w:highlight w:val="none"/>
                <w:u w:val="none"/>
                <w:lang w:val="en-US" w:eastAsia="zh-CN"/>
              </w:rPr>
            </w:pPr>
            <w:r>
              <w:rPr>
                <w:rFonts w:hint="eastAsia" w:ascii="黑体" w:hAnsi="宋体" w:eastAsia="黑体" w:cs="黑体"/>
                <w:i w:val="0"/>
                <w:iCs w:val="0"/>
                <w:color w:val="000000"/>
                <w:sz w:val="21"/>
                <w:szCs w:val="21"/>
                <w:highlight w:val="none"/>
                <w:u w:val="none"/>
                <w:lang w:val="en-US" w:eastAsia="zh-CN"/>
              </w:rPr>
              <w:t>1</w:t>
            </w:r>
          </w:p>
        </w:tc>
      </w:tr>
    </w:tbl>
    <w:p>
      <w:pPr>
        <w:pStyle w:val="11"/>
        <w:keepNext w:val="0"/>
        <w:keepLines w:val="0"/>
        <w:widowControl/>
        <w:suppressLineNumbers w:val="0"/>
        <w:spacing w:before="75" w:beforeAutospacing="0" w:after="75" w:afterAutospacing="0"/>
        <w:ind w:left="0" w:right="0" w:firstLine="0"/>
        <w:outlineLvl w:val="1"/>
        <w:rPr>
          <w:spacing w:val="0"/>
          <w:sz w:val="24"/>
          <w:szCs w:val="24"/>
          <w:highlight w:val="none"/>
        </w:rPr>
      </w:pPr>
    </w:p>
    <w:p>
      <w:pPr>
        <w:pStyle w:val="11"/>
        <w:keepNext w:val="0"/>
        <w:keepLines w:val="0"/>
        <w:widowControl/>
        <w:numPr>
          <w:ilvl w:val="0"/>
          <w:numId w:val="0"/>
        </w:numPr>
        <w:suppressLineNumbers w:val="0"/>
        <w:spacing w:before="75" w:beforeAutospacing="0" w:after="75" w:afterAutospacing="0"/>
        <w:ind w:left="0" w:leftChars="0" w:right="0" w:rightChars="0" w:firstLine="0" w:firstLineChars="0"/>
        <w:outlineLvl w:val="1"/>
        <w:rPr>
          <w:spacing w:val="0"/>
          <w:sz w:val="24"/>
          <w:szCs w:val="24"/>
          <w:highlight w:val="none"/>
        </w:rPr>
      </w:pPr>
      <w:r>
        <w:rPr>
          <w:rFonts w:hint="eastAsia" w:asciiTheme="minorHAnsi" w:hAnsiTheme="minorHAnsi" w:eastAsiaTheme="minorEastAsia" w:cstheme="minorBidi"/>
          <w:spacing w:val="0"/>
          <w:kern w:val="0"/>
          <w:sz w:val="24"/>
          <w:szCs w:val="24"/>
          <w:highlight w:val="none"/>
          <w:lang w:val="en-US" w:eastAsia="zh-CN" w:bidi="ar"/>
        </w:rPr>
        <w:t>二、</w:t>
      </w:r>
      <w:r>
        <w:rPr>
          <w:rFonts w:hint="eastAsia"/>
          <w:spacing w:val="0"/>
          <w:sz w:val="24"/>
          <w:szCs w:val="24"/>
          <w:highlight w:val="none"/>
        </w:rPr>
        <w:t>技术和服务要求</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313" w:beforeLines="100" w:beforeAutospacing="0" w:after="313" w:afterLines="100" w:afterAutospacing="0" w:line="360" w:lineRule="auto"/>
        <w:ind w:left="0" w:leftChars="0" w:right="0" w:rightChars="0"/>
        <w:textAlignment w:val="auto"/>
        <w:outlineLvl w:val="1"/>
        <w:rPr>
          <w:rFonts w:hint="eastAsia"/>
          <w:b/>
          <w:bCs/>
          <w:spacing w:val="0"/>
          <w:sz w:val="24"/>
          <w:szCs w:val="24"/>
          <w:highlight w:val="none"/>
          <w:lang w:val="en-US" w:eastAsia="zh-CN"/>
        </w:rPr>
      </w:pPr>
      <w:r>
        <w:rPr>
          <w:rFonts w:hint="eastAsia" w:cstheme="minorBidi"/>
          <w:b/>
          <w:bCs/>
          <w:spacing w:val="0"/>
          <w:kern w:val="0"/>
          <w:sz w:val="24"/>
          <w:szCs w:val="24"/>
          <w:highlight w:val="none"/>
          <w:lang w:val="en-US" w:eastAsia="zh-CN" w:bidi="ar"/>
        </w:rPr>
        <w:t xml:space="preserve">1 </w:t>
      </w:r>
      <w:r>
        <w:rPr>
          <w:rFonts w:hint="eastAsia"/>
          <w:b/>
          <w:bCs/>
          <w:spacing w:val="0"/>
          <w:sz w:val="24"/>
          <w:szCs w:val="24"/>
          <w:highlight w:val="none"/>
          <w:lang w:val="en-US" w:eastAsia="zh-CN"/>
        </w:rPr>
        <w:t>桌面VR一体机</w:t>
      </w:r>
    </w:p>
    <w:p>
      <w:pPr>
        <w:widowControl/>
        <w:spacing w:line="400" w:lineRule="exact"/>
        <w:rPr>
          <w:rFonts w:ascii="宋体" w:hAnsi="宋体" w:eastAsia="宋体" w:cs="宋体"/>
          <w:b/>
          <w:kern w:val="0"/>
          <w:sz w:val="20"/>
          <w:szCs w:val="20"/>
          <w:highlight w:val="none"/>
          <w:lang w:eastAsia="zh-Hans"/>
        </w:rPr>
      </w:pPr>
      <w:r>
        <w:rPr>
          <w:rFonts w:ascii="宋体" w:hAnsi="宋体" w:eastAsia="宋体" w:cs="宋体"/>
          <w:b/>
          <w:kern w:val="0"/>
          <w:sz w:val="20"/>
          <w:szCs w:val="20"/>
          <w:highlight w:val="none"/>
          <w:lang w:eastAsia="zh-Hans"/>
        </w:rPr>
        <w:t>[指标项</w:t>
      </w:r>
      <w:r>
        <w:rPr>
          <w:rFonts w:hint="eastAsia" w:ascii="宋体" w:hAnsi="宋体" w:eastAsia="宋体" w:cs="宋体"/>
          <w:b/>
          <w:kern w:val="0"/>
          <w:sz w:val="20"/>
          <w:szCs w:val="20"/>
          <w:highlight w:val="none"/>
        </w:rPr>
        <w:t>1</w:t>
      </w:r>
      <w:r>
        <w:rPr>
          <w:rFonts w:ascii="宋体" w:hAnsi="宋体" w:eastAsia="宋体" w:cs="宋体"/>
          <w:b/>
          <w:kern w:val="0"/>
          <w:sz w:val="20"/>
          <w:szCs w:val="20"/>
          <w:highlight w:val="none"/>
          <w:lang w:eastAsia="zh-Hans"/>
        </w:rPr>
        <w:t>]</w:t>
      </w:r>
    </w:p>
    <w:p>
      <w:pPr>
        <w:widowControl/>
        <w:spacing w:line="360" w:lineRule="auto"/>
        <w:jc w:val="left"/>
        <w:rPr>
          <w:rFonts w:ascii="宋体" w:hAnsi="宋体" w:eastAsia="宋体" w:cs="Times New Roman"/>
          <w:szCs w:val="22"/>
          <w:highlight w:val="none"/>
        </w:rPr>
      </w:pPr>
      <w:r>
        <w:rPr>
          <w:rFonts w:ascii="宋体" w:hAnsi="宋体" w:eastAsia="宋体" w:cs="Times New Roman"/>
          <w:szCs w:val="22"/>
          <w:highlight w:val="none"/>
        </w:rPr>
        <w:t>1.</w:t>
      </w:r>
      <w:bookmarkStart w:id="15" w:name="_Hlk167958949"/>
      <w:r>
        <w:rPr>
          <w:rFonts w:ascii="宋体" w:hAnsi="宋体" w:eastAsia="宋体" w:cs="Times New Roman"/>
          <w:szCs w:val="22"/>
          <w:highlight w:val="none"/>
        </w:rPr>
        <w:t>桌面一体机式VR设备，系统为一体化设计，可自由调整使用角度，设备配置不小于</w:t>
      </w:r>
      <w:bookmarkStart w:id="16" w:name="_Hlk129005252"/>
      <w:r>
        <w:rPr>
          <w:rFonts w:hint="eastAsia" w:ascii="宋体" w:hAnsi="宋体" w:eastAsia="宋体" w:cs="宋体"/>
          <w:kern w:val="0"/>
          <w:szCs w:val="21"/>
          <w:highlight w:val="none"/>
        </w:rPr>
        <w:t>2</w:t>
      </w:r>
      <w:r>
        <w:rPr>
          <w:rFonts w:ascii="宋体" w:hAnsi="宋体" w:eastAsia="宋体" w:cs="宋体"/>
          <w:kern w:val="0"/>
          <w:szCs w:val="21"/>
          <w:highlight w:val="none"/>
        </w:rPr>
        <w:t>7</w:t>
      </w:r>
      <w:r>
        <w:rPr>
          <w:rFonts w:hint="eastAsia" w:ascii="宋体" w:hAnsi="宋体" w:eastAsia="宋体" w:cs="宋体"/>
          <w:kern w:val="0"/>
          <w:szCs w:val="21"/>
          <w:highlight w:val="none"/>
        </w:rPr>
        <w:t>英寸具备电容触摸交互的高清立体显示终端</w:t>
      </w:r>
      <w:bookmarkEnd w:id="16"/>
      <w:r>
        <w:rPr>
          <w:rFonts w:ascii="宋体" w:hAnsi="宋体" w:eastAsia="宋体" w:cs="Times New Roman"/>
          <w:szCs w:val="22"/>
          <w:highlight w:val="none"/>
        </w:rPr>
        <w:t>，实现软件资源的立体展示，搭配位置追踪元件的3D光学追踪眼镜实现虚拟现实出屏和临场感效果；</w:t>
      </w:r>
      <w:bookmarkEnd w:id="15"/>
    </w:p>
    <w:p>
      <w:pPr>
        <w:widowControl/>
        <w:spacing w:line="360" w:lineRule="auto"/>
        <w:rPr>
          <w:rFonts w:ascii="宋体" w:hAnsi="宋体" w:eastAsia="宋体" w:cs="宋体"/>
          <w:b/>
          <w:kern w:val="0"/>
          <w:sz w:val="20"/>
          <w:szCs w:val="20"/>
          <w:highlight w:val="none"/>
          <w:lang w:eastAsia="zh-Hans"/>
        </w:rPr>
      </w:pPr>
      <w:r>
        <w:rPr>
          <w:rFonts w:ascii="宋体" w:hAnsi="宋体" w:eastAsia="宋体" w:cs="宋体"/>
          <w:b/>
          <w:kern w:val="0"/>
          <w:sz w:val="20"/>
          <w:szCs w:val="20"/>
          <w:highlight w:val="none"/>
          <w:lang w:eastAsia="zh-Hans"/>
        </w:rPr>
        <w:t>[指标项</w:t>
      </w:r>
      <w:r>
        <w:rPr>
          <w:rFonts w:hint="eastAsia" w:ascii="宋体" w:hAnsi="宋体" w:eastAsia="宋体" w:cs="宋体"/>
          <w:b/>
          <w:kern w:val="0"/>
          <w:sz w:val="20"/>
          <w:szCs w:val="20"/>
          <w:highlight w:val="none"/>
        </w:rPr>
        <w:t>2</w:t>
      </w:r>
      <w:r>
        <w:rPr>
          <w:rFonts w:ascii="宋体" w:hAnsi="宋体" w:eastAsia="宋体" w:cs="宋体"/>
          <w:b/>
          <w:kern w:val="0"/>
          <w:sz w:val="20"/>
          <w:szCs w:val="20"/>
          <w:highlight w:val="none"/>
          <w:lang w:eastAsia="zh-Hans"/>
        </w:rPr>
        <w:t>]</w:t>
      </w:r>
    </w:p>
    <w:p>
      <w:pPr>
        <w:pStyle w:val="2"/>
        <w:rPr>
          <w:highlight w:val="none"/>
        </w:rPr>
      </w:pPr>
      <w:r>
        <w:rPr>
          <w:highlight w:val="none"/>
        </w:rPr>
        <w:t>桌面式虚拟现实操作平台设备1套，包括</w:t>
      </w:r>
      <w:r>
        <w:rPr>
          <w:sz w:val="24"/>
          <w:szCs w:val="24"/>
          <w:highlight w:val="none"/>
        </w:rPr>
        <w:t>：</w:t>
      </w:r>
      <w:r>
        <w:rPr>
          <w:rFonts w:hint="eastAsia" w:cs="宋体"/>
          <w:kern w:val="0"/>
          <w:szCs w:val="21"/>
          <w:highlight w:val="none"/>
        </w:rPr>
        <w:t>2</w:t>
      </w:r>
      <w:r>
        <w:rPr>
          <w:rFonts w:cs="宋体"/>
          <w:kern w:val="0"/>
          <w:szCs w:val="21"/>
          <w:highlight w:val="none"/>
        </w:rPr>
        <w:t>7</w:t>
      </w:r>
      <w:r>
        <w:rPr>
          <w:rFonts w:hint="eastAsia" w:cs="宋体"/>
          <w:kern w:val="0"/>
          <w:szCs w:val="21"/>
          <w:highlight w:val="none"/>
        </w:rPr>
        <w:t>英寸具备电容触摸交互的高清立体显示</w:t>
      </w:r>
      <w:r>
        <w:rPr>
          <w:rFonts w:hint="eastAsia" w:cs="宋体"/>
          <w:kern w:val="0"/>
          <w:sz w:val="20"/>
          <w:szCs w:val="20"/>
          <w:highlight w:val="none"/>
        </w:rPr>
        <w:t>器</w:t>
      </w:r>
      <w:r>
        <w:rPr>
          <w:szCs w:val="21"/>
          <w:highlight w:val="none"/>
        </w:rPr>
        <w:t>、</w:t>
      </w:r>
      <w:r>
        <w:rPr>
          <w:rFonts w:hint="eastAsia"/>
          <w:highlight w:val="none"/>
        </w:rPr>
        <w:t>3D</w:t>
      </w:r>
      <w:r>
        <w:rPr>
          <w:highlight w:val="none"/>
        </w:rPr>
        <w:t>光学追踪眼镜1副</w:t>
      </w:r>
      <w:r>
        <w:rPr>
          <w:rFonts w:hint="eastAsia"/>
          <w:highlight w:val="none"/>
        </w:rPr>
        <w:t>、3D光学</w:t>
      </w:r>
      <w:r>
        <w:rPr>
          <w:highlight w:val="none"/>
        </w:rPr>
        <w:t>非</w:t>
      </w:r>
      <w:r>
        <w:rPr>
          <w:rFonts w:hint="eastAsia"/>
          <w:highlight w:val="none"/>
        </w:rPr>
        <w:t>追</w:t>
      </w:r>
      <w:r>
        <w:rPr>
          <w:highlight w:val="none"/>
        </w:rPr>
        <w:t>踪眼镜2副、空间交互笔1支、电源适配器1个、AC连接线1根。</w:t>
      </w:r>
    </w:p>
    <w:p>
      <w:pPr>
        <w:widowControl/>
        <w:spacing w:line="360" w:lineRule="auto"/>
        <w:rPr>
          <w:rFonts w:ascii="宋体" w:hAnsi="宋体" w:eastAsia="宋体" w:cs="宋体"/>
          <w:b/>
          <w:kern w:val="0"/>
          <w:sz w:val="20"/>
          <w:szCs w:val="20"/>
          <w:highlight w:val="none"/>
          <w:lang w:eastAsia="zh-Hans"/>
        </w:rPr>
      </w:pPr>
      <w:r>
        <w:rPr>
          <w:rFonts w:ascii="宋体" w:hAnsi="宋体" w:eastAsia="宋体" w:cs="宋体"/>
          <w:b/>
          <w:kern w:val="0"/>
          <w:sz w:val="20"/>
          <w:szCs w:val="20"/>
          <w:highlight w:val="none"/>
          <w:lang w:eastAsia="zh-Hans"/>
        </w:rPr>
        <w:t>[指标项</w:t>
      </w:r>
      <w:r>
        <w:rPr>
          <w:rFonts w:hint="eastAsia" w:ascii="宋体" w:hAnsi="宋体" w:eastAsia="宋体" w:cs="宋体"/>
          <w:b/>
          <w:kern w:val="0"/>
          <w:sz w:val="20"/>
          <w:szCs w:val="20"/>
          <w:highlight w:val="none"/>
        </w:rPr>
        <w:t>3</w:t>
      </w:r>
      <w:r>
        <w:rPr>
          <w:rFonts w:ascii="宋体" w:hAnsi="宋体" w:eastAsia="宋体" w:cs="宋体"/>
          <w:b/>
          <w:kern w:val="0"/>
          <w:sz w:val="20"/>
          <w:szCs w:val="20"/>
          <w:highlight w:val="none"/>
          <w:lang w:eastAsia="zh-Hans"/>
        </w:rPr>
        <w:t>]</w:t>
      </w:r>
    </w:p>
    <w:p>
      <w:pPr>
        <w:widowControl/>
        <w:spacing w:line="360" w:lineRule="auto"/>
        <w:jc w:val="left"/>
        <w:rPr>
          <w:rFonts w:ascii="宋体" w:hAnsi="宋体" w:eastAsia="宋体" w:cs="Times New Roman"/>
          <w:szCs w:val="22"/>
          <w:highlight w:val="none"/>
        </w:rPr>
      </w:pPr>
      <w:r>
        <w:rPr>
          <w:rFonts w:ascii="宋体" w:hAnsi="宋体" w:eastAsia="宋体" w:cs="Times New Roman"/>
          <w:szCs w:val="22"/>
          <w:highlight w:val="none"/>
        </w:rPr>
        <w:t>3.系统硬件配置：</w:t>
      </w:r>
    </w:p>
    <w:p>
      <w:pPr>
        <w:widowControl/>
        <w:spacing w:line="360" w:lineRule="auto"/>
        <w:jc w:val="left"/>
        <w:rPr>
          <w:rFonts w:ascii="宋体" w:hAnsi="宋体" w:eastAsia="宋体" w:cs="Times New Roman"/>
          <w:szCs w:val="21"/>
          <w:highlight w:val="none"/>
        </w:rPr>
      </w:pPr>
      <w:r>
        <w:rPr>
          <w:rFonts w:hint="eastAsia" w:ascii="宋体" w:hAnsi="宋体" w:eastAsia="宋体" w:cs="Times New Roman"/>
          <w:szCs w:val="21"/>
          <w:highlight w:val="none"/>
        </w:rPr>
        <w:t>（1</w:t>
      </w:r>
      <w:r>
        <w:rPr>
          <w:rFonts w:ascii="宋体" w:hAnsi="宋体" w:eastAsia="宋体" w:cs="Times New Roman"/>
          <w:szCs w:val="21"/>
          <w:highlight w:val="none"/>
        </w:rPr>
        <w:t>）CPU：</w:t>
      </w:r>
      <w:r>
        <w:rPr>
          <w:rFonts w:hint="eastAsia" w:ascii="宋体" w:hAnsi="宋体" w:eastAsia="宋体" w:cs="宋体"/>
          <w:kern w:val="0"/>
          <w:szCs w:val="21"/>
          <w:highlight w:val="none"/>
        </w:rPr>
        <w:t>相当于或优于</w:t>
      </w:r>
      <w:r>
        <w:rPr>
          <w:rFonts w:ascii="宋体" w:hAnsi="宋体" w:eastAsia="宋体" w:cs="宋体"/>
          <w:kern w:val="0"/>
          <w:szCs w:val="21"/>
          <w:highlight w:val="none"/>
        </w:rPr>
        <w:t>intel I</w:t>
      </w:r>
      <w:r>
        <w:rPr>
          <w:rFonts w:hint="eastAsia" w:ascii="宋体" w:hAnsi="宋体" w:eastAsia="宋体" w:cs="宋体"/>
          <w:kern w:val="0"/>
          <w:szCs w:val="21"/>
          <w:highlight w:val="none"/>
        </w:rPr>
        <w:t>7</w:t>
      </w:r>
      <w:r>
        <w:rPr>
          <w:rFonts w:ascii="宋体" w:hAnsi="宋体" w:eastAsia="宋体" w:cs="宋体"/>
          <w:kern w:val="0"/>
          <w:szCs w:val="21"/>
          <w:highlight w:val="none"/>
        </w:rPr>
        <w:t>-11700F</w:t>
      </w:r>
      <w:r>
        <w:rPr>
          <w:rFonts w:hint="eastAsia" w:ascii="宋体" w:hAnsi="宋体" w:eastAsia="宋体" w:cs="宋体"/>
          <w:kern w:val="0"/>
          <w:szCs w:val="21"/>
          <w:highlight w:val="none"/>
        </w:rPr>
        <w:t>，不低于八核心十六线程，主频不低于2.</w:t>
      </w:r>
      <w:r>
        <w:rPr>
          <w:rFonts w:ascii="宋体" w:hAnsi="宋体" w:eastAsia="宋体" w:cs="宋体"/>
          <w:kern w:val="0"/>
          <w:szCs w:val="21"/>
          <w:highlight w:val="none"/>
        </w:rPr>
        <w:t>5</w:t>
      </w:r>
      <w:r>
        <w:rPr>
          <w:rFonts w:hint="eastAsia" w:ascii="宋体" w:hAnsi="宋体" w:eastAsia="宋体" w:cs="宋体"/>
          <w:kern w:val="0"/>
          <w:szCs w:val="21"/>
          <w:highlight w:val="none"/>
        </w:rPr>
        <w:t>GHz</w:t>
      </w:r>
    </w:p>
    <w:p>
      <w:pPr>
        <w:widowControl/>
        <w:spacing w:line="400" w:lineRule="exact"/>
        <w:rPr>
          <w:rFonts w:ascii="仿宋" w:hAnsi="仿宋" w:cs="宋体"/>
          <w:color w:val="000000"/>
          <w:kern w:val="0"/>
          <w:sz w:val="22"/>
          <w:highlight w:val="none"/>
        </w:rPr>
      </w:pPr>
      <w:r>
        <w:rPr>
          <w:rFonts w:ascii="宋体" w:hAnsi="宋体" w:eastAsia="宋体" w:cs="宋体"/>
          <w:b/>
          <w:kern w:val="0"/>
          <w:sz w:val="20"/>
          <w:szCs w:val="20"/>
          <w:highlight w:val="none"/>
          <w:lang w:eastAsia="zh-Hans"/>
        </w:rPr>
        <w:t>[指标项</w:t>
      </w:r>
      <w:r>
        <w:rPr>
          <w:rFonts w:hint="eastAsia" w:ascii="宋体" w:hAnsi="宋体" w:eastAsia="宋体" w:cs="宋体"/>
          <w:b/>
          <w:kern w:val="0"/>
          <w:sz w:val="20"/>
          <w:szCs w:val="20"/>
          <w:highlight w:val="none"/>
        </w:rPr>
        <w:t>4</w:t>
      </w:r>
      <w:r>
        <w:rPr>
          <w:rFonts w:ascii="宋体" w:hAnsi="宋体" w:eastAsia="宋体" w:cs="宋体"/>
          <w:b/>
          <w:kern w:val="0"/>
          <w:sz w:val="20"/>
          <w:szCs w:val="20"/>
          <w:highlight w:val="none"/>
          <w:lang w:eastAsia="zh-Hans"/>
        </w:rPr>
        <w:t>]</w:t>
      </w:r>
    </w:p>
    <w:p>
      <w:pPr>
        <w:widowControl/>
        <w:spacing w:line="400" w:lineRule="exact"/>
        <w:rPr>
          <w:rFonts w:ascii="仿宋" w:hAnsi="仿宋" w:cs="宋体"/>
          <w:color w:val="000000"/>
          <w:kern w:val="0"/>
          <w:sz w:val="22"/>
          <w:highlight w:val="none"/>
        </w:rPr>
      </w:pPr>
      <w:r>
        <w:rPr>
          <w:rFonts w:hint="eastAsia" w:ascii="仿宋" w:hAnsi="仿宋" w:cs="宋体"/>
          <w:color w:val="000000"/>
          <w:kern w:val="0"/>
          <w:sz w:val="22"/>
          <w:highlight w:val="none"/>
        </w:rPr>
        <w:t>（2）硬盘：≥512GB SSD；</w:t>
      </w:r>
    </w:p>
    <w:p>
      <w:pPr>
        <w:widowControl/>
        <w:spacing w:line="400" w:lineRule="exact"/>
        <w:rPr>
          <w:highlight w:val="none"/>
        </w:rPr>
      </w:pPr>
      <w:r>
        <w:rPr>
          <w:rFonts w:ascii="宋体" w:hAnsi="宋体" w:eastAsia="宋体" w:cs="宋体"/>
          <w:b/>
          <w:kern w:val="0"/>
          <w:sz w:val="20"/>
          <w:szCs w:val="20"/>
          <w:highlight w:val="none"/>
          <w:lang w:eastAsia="zh-Hans"/>
        </w:rPr>
        <w:t>[指标项</w:t>
      </w:r>
      <w:r>
        <w:rPr>
          <w:rFonts w:hint="eastAsia" w:ascii="宋体" w:hAnsi="宋体" w:eastAsia="宋体" w:cs="宋体"/>
          <w:b/>
          <w:kern w:val="0"/>
          <w:sz w:val="20"/>
          <w:szCs w:val="20"/>
          <w:highlight w:val="none"/>
        </w:rPr>
        <w:t>5</w:t>
      </w:r>
      <w:r>
        <w:rPr>
          <w:rFonts w:ascii="宋体" w:hAnsi="宋体" w:eastAsia="宋体" w:cs="宋体"/>
          <w:b/>
          <w:kern w:val="0"/>
          <w:sz w:val="20"/>
          <w:szCs w:val="20"/>
          <w:highlight w:val="none"/>
          <w:lang w:eastAsia="zh-Hans"/>
        </w:rPr>
        <w:t>]</w:t>
      </w:r>
    </w:p>
    <w:p>
      <w:pPr>
        <w:widowControl/>
        <w:jc w:val="left"/>
        <w:rPr>
          <w:rFonts w:ascii="宋体" w:hAnsi="宋体" w:eastAsia="宋体" w:cs="Times New Roman"/>
          <w:szCs w:val="22"/>
          <w:highlight w:val="none"/>
        </w:rPr>
      </w:pPr>
      <w:r>
        <w:rPr>
          <w:rFonts w:hint="eastAsia" w:ascii="宋体" w:hAnsi="宋体" w:eastAsia="宋体" w:cs="Times New Roman"/>
          <w:szCs w:val="22"/>
          <w:highlight w:val="none"/>
        </w:rPr>
        <w:t>（3</w:t>
      </w:r>
      <w:r>
        <w:rPr>
          <w:rFonts w:ascii="宋体" w:hAnsi="宋体" w:eastAsia="宋体" w:cs="Times New Roman"/>
          <w:szCs w:val="22"/>
          <w:highlight w:val="none"/>
        </w:rPr>
        <w:t>）内存：≥16G</w:t>
      </w:r>
      <w:r>
        <w:rPr>
          <w:rFonts w:hint="eastAsia" w:ascii="宋体" w:hAnsi="宋体" w:eastAsia="宋体" w:cs="Times New Roman"/>
          <w:szCs w:val="22"/>
          <w:highlight w:val="none"/>
        </w:rPr>
        <w:t xml:space="preserve">B </w:t>
      </w:r>
      <w:r>
        <w:rPr>
          <w:rFonts w:ascii="宋体" w:hAnsi="宋体" w:eastAsia="宋体" w:cs="Times New Roman"/>
          <w:szCs w:val="22"/>
          <w:highlight w:val="none"/>
        </w:rPr>
        <w:t>DDR4</w:t>
      </w:r>
      <w:r>
        <w:rPr>
          <w:rFonts w:hint="eastAsia" w:ascii="宋体" w:hAnsi="宋体" w:eastAsia="宋体" w:cs="Times New Roman"/>
          <w:szCs w:val="22"/>
          <w:highlight w:val="none"/>
        </w:rPr>
        <w:t>；</w:t>
      </w:r>
    </w:p>
    <w:p>
      <w:pPr>
        <w:widowControl/>
        <w:spacing w:line="400" w:lineRule="exact"/>
        <w:rPr>
          <w:rFonts w:ascii="仿宋" w:hAnsi="仿宋" w:cs="宋体"/>
          <w:color w:val="000000"/>
          <w:kern w:val="0"/>
          <w:sz w:val="22"/>
          <w:highlight w:val="none"/>
        </w:rPr>
      </w:pPr>
      <w:r>
        <w:rPr>
          <w:rFonts w:ascii="宋体" w:hAnsi="宋体" w:eastAsia="宋体" w:cs="宋体"/>
          <w:b/>
          <w:kern w:val="0"/>
          <w:sz w:val="20"/>
          <w:szCs w:val="20"/>
          <w:highlight w:val="none"/>
          <w:lang w:eastAsia="zh-Hans"/>
        </w:rPr>
        <w:t>[指标项</w:t>
      </w:r>
      <w:r>
        <w:rPr>
          <w:rFonts w:hint="eastAsia" w:ascii="宋体" w:hAnsi="宋体" w:eastAsia="宋体" w:cs="宋体"/>
          <w:b/>
          <w:kern w:val="0"/>
          <w:sz w:val="20"/>
          <w:szCs w:val="20"/>
          <w:highlight w:val="none"/>
        </w:rPr>
        <w:t>6</w:t>
      </w:r>
      <w:r>
        <w:rPr>
          <w:rFonts w:ascii="宋体" w:hAnsi="宋体" w:eastAsia="宋体" w:cs="宋体"/>
          <w:b/>
          <w:kern w:val="0"/>
          <w:sz w:val="20"/>
          <w:szCs w:val="20"/>
          <w:highlight w:val="none"/>
          <w:lang w:eastAsia="zh-Hans"/>
        </w:rPr>
        <w:t>]</w:t>
      </w:r>
    </w:p>
    <w:p>
      <w:pPr>
        <w:widowControl/>
        <w:spacing w:line="400" w:lineRule="exact"/>
        <w:rPr>
          <w:rFonts w:ascii="仿宋" w:hAnsi="仿宋" w:cs="宋体"/>
          <w:color w:val="000000"/>
          <w:kern w:val="0"/>
          <w:sz w:val="22"/>
          <w:highlight w:val="none"/>
        </w:rPr>
      </w:pPr>
      <w:r>
        <w:rPr>
          <w:rFonts w:hint="eastAsia" w:ascii="仿宋" w:hAnsi="仿宋" w:cs="宋体"/>
          <w:color w:val="000000"/>
          <w:kern w:val="0"/>
          <w:sz w:val="22"/>
          <w:highlight w:val="none"/>
        </w:rPr>
        <w:t>（4）</w:t>
      </w:r>
      <w:r>
        <w:rPr>
          <w:rFonts w:ascii="宋体" w:hAnsi="宋体" w:eastAsia="宋体" w:cs="Times New Roman"/>
          <w:szCs w:val="22"/>
          <w:highlight w:val="none"/>
        </w:rPr>
        <w:t>相当于或优于QUADRO T1000，专业图形显卡，显存不低于4GB DDR6</w:t>
      </w:r>
      <w:r>
        <w:rPr>
          <w:rFonts w:hint="eastAsia" w:ascii="仿宋" w:hAnsi="仿宋" w:cs="宋体"/>
          <w:color w:val="000000"/>
          <w:kern w:val="0"/>
          <w:sz w:val="22"/>
          <w:highlight w:val="none"/>
        </w:rPr>
        <w:t>；</w:t>
      </w:r>
    </w:p>
    <w:p>
      <w:pPr>
        <w:widowControl/>
        <w:spacing w:line="400" w:lineRule="exact"/>
        <w:rPr>
          <w:rFonts w:ascii="仿宋" w:hAnsi="仿宋" w:cs="宋体"/>
          <w:color w:val="000000"/>
          <w:kern w:val="0"/>
          <w:sz w:val="22"/>
          <w:highlight w:val="none"/>
        </w:rPr>
      </w:pPr>
      <w:r>
        <w:rPr>
          <w:rFonts w:ascii="宋体" w:hAnsi="宋体" w:eastAsia="宋体" w:cs="宋体"/>
          <w:b/>
          <w:kern w:val="0"/>
          <w:sz w:val="20"/>
          <w:szCs w:val="20"/>
          <w:highlight w:val="none"/>
          <w:lang w:eastAsia="zh-Hans"/>
        </w:rPr>
        <w:t>[指标项</w:t>
      </w:r>
      <w:r>
        <w:rPr>
          <w:rFonts w:hint="eastAsia" w:ascii="宋体" w:hAnsi="宋体" w:eastAsia="宋体" w:cs="宋体"/>
          <w:b/>
          <w:kern w:val="0"/>
          <w:sz w:val="20"/>
          <w:szCs w:val="20"/>
          <w:highlight w:val="none"/>
        </w:rPr>
        <w:t>7</w:t>
      </w:r>
      <w:r>
        <w:rPr>
          <w:rFonts w:ascii="宋体" w:hAnsi="宋体" w:eastAsia="宋体" w:cs="宋体"/>
          <w:b/>
          <w:kern w:val="0"/>
          <w:sz w:val="20"/>
          <w:szCs w:val="20"/>
          <w:highlight w:val="none"/>
          <w:lang w:eastAsia="zh-Hans"/>
        </w:rPr>
        <w:t>]</w:t>
      </w:r>
    </w:p>
    <w:p>
      <w:pPr>
        <w:widowControl/>
        <w:jc w:val="left"/>
        <w:rPr>
          <w:rFonts w:ascii="宋体" w:hAnsi="宋体" w:eastAsia="宋体" w:cs="Times New Roman"/>
          <w:szCs w:val="22"/>
          <w:highlight w:val="none"/>
        </w:rPr>
      </w:pPr>
      <w:r>
        <w:rPr>
          <w:rFonts w:hint="eastAsia" w:ascii="宋体" w:hAnsi="宋体" w:eastAsia="宋体" w:cs="Times New Roman"/>
          <w:szCs w:val="22"/>
          <w:highlight w:val="none"/>
        </w:rPr>
        <w:t>（5</w:t>
      </w:r>
      <w:r>
        <w:rPr>
          <w:rFonts w:ascii="宋体" w:hAnsi="宋体" w:eastAsia="宋体" w:cs="Times New Roman"/>
          <w:szCs w:val="22"/>
          <w:highlight w:val="none"/>
        </w:rPr>
        <w:t>）分辨率：不低于1920*1080，亮度不低于400cd/㎡，对比度不低于1000:1</w:t>
      </w:r>
    </w:p>
    <w:p>
      <w:pPr>
        <w:widowControl/>
        <w:jc w:val="left"/>
        <w:rPr>
          <w:rFonts w:ascii="宋体" w:hAnsi="宋体" w:eastAsia="宋体" w:cs="Times New Roman"/>
          <w:szCs w:val="22"/>
          <w:highlight w:val="none"/>
        </w:rPr>
      </w:pPr>
      <w:r>
        <w:rPr>
          <w:rFonts w:hint="eastAsia" w:ascii="宋体" w:hAnsi="宋体" w:eastAsia="宋体" w:cs="Times New Roman"/>
          <w:szCs w:val="22"/>
          <w:highlight w:val="none"/>
        </w:rPr>
        <w:t>（6</w:t>
      </w:r>
      <w:r>
        <w:rPr>
          <w:rFonts w:ascii="宋体" w:hAnsi="宋体" w:eastAsia="宋体" w:cs="Times New Roman"/>
          <w:szCs w:val="22"/>
          <w:highlight w:val="none"/>
        </w:rPr>
        <w:t>）刷新率不低于 120Hz</w:t>
      </w:r>
      <w:r>
        <w:rPr>
          <w:rFonts w:hint="eastAsia" w:ascii="宋体" w:hAnsi="宋体" w:eastAsia="宋体" w:cs="Times New Roman"/>
          <w:szCs w:val="22"/>
          <w:highlight w:val="none"/>
        </w:rPr>
        <w:t>；</w:t>
      </w:r>
    </w:p>
    <w:p>
      <w:pPr>
        <w:widowControl/>
        <w:spacing w:line="400" w:lineRule="exact"/>
        <w:rPr>
          <w:rFonts w:ascii="仿宋" w:hAnsi="仿宋" w:cs="宋体"/>
          <w:color w:val="000000"/>
          <w:kern w:val="0"/>
          <w:sz w:val="22"/>
          <w:highlight w:val="none"/>
        </w:rPr>
      </w:pPr>
      <w:r>
        <w:rPr>
          <w:rFonts w:ascii="宋体" w:hAnsi="宋体" w:eastAsia="宋体" w:cs="宋体"/>
          <w:b/>
          <w:kern w:val="0"/>
          <w:sz w:val="20"/>
          <w:szCs w:val="20"/>
          <w:highlight w:val="none"/>
          <w:lang w:eastAsia="zh-Hans"/>
        </w:rPr>
        <w:t>[指标项</w:t>
      </w:r>
      <w:r>
        <w:rPr>
          <w:rFonts w:hint="eastAsia" w:ascii="宋体" w:hAnsi="宋体" w:eastAsia="宋体" w:cs="宋体"/>
          <w:b/>
          <w:kern w:val="0"/>
          <w:sz w:val="20"/>
          <w:szCs w:val="20"/>
          <w:highlight w:val="none"/>
        </w:rPr>
        <w:t>8</w:t>
      </w:r>
      <w:r>
        <w:rPr>
          <w:rFonts w:ascii="宋体" w:hAnsi="宋体" w:eastAsia="宋体" w:cs="宋体"/>
          <w:b/>
          <w:kern w:val="0"/>
          <w:sz w:val="20"/>
          <w:szCs w:val="20"/>
          <w:highlight w:val="none"/>
          <w:lang w:eastAsia="zh-Hans"/>
        </w:rPr>
        <w:t>]</w:t>
      </w:r>
    </w:p>
    <w:p>
      <w:pPr>
        <w:widowControl/>
        <w:jc w:val="left"/>
        <w:rPr>
          <w:rFonts w:ascii="宋体" w:hAnsi="宋体" w:eastAsia="宋体" w:cs="Times New Roman"/>
          <w:szCs w:val="22"/>
          <w:highlight w:val="none"/>
        </w:rPr>
      </w:pPr>
      <w:r>
        <w:rPr>
          <w:rFonts w:hint="eastAsia" w:ascii="宋体" w:hAnsi="宋体" w:eastAsia="宋体" w:cs="Times New Roman"/>
          <w:szCs w:val="22"/>
          <w:highlight w:val="none"/>
        </w:rPr>
        <w:t>（7</w:t>
      </w:r>
      <w:r>
        <w:rPr>
          <w:rFonts w:ascii="宋体" w:hAnsi="宋体" w:eastAsia="宋体" w:cs="Times New Roman"/>
          <w:szCs w:val="22"/>
          <w:highlight w:val="none"/>
        </w:rPr>
        <w:t>）设备具备不低于2个USB3.0端口、不低于5个USB2.0端口、不低于2个MiniDP输出端口；</w:t>
      </w:r>
    </w:p>
    <w:p>
      <w:pPr>
        <w:widowControl/>
        <w:jc w:val="left"/>
        <w:rPr>
          <w:rFonts w:ascii="宋体" w:hAnsi="宋体" w:eastAsia="宋体" w:cs="Times New Roman"/>
          <w:szCs w:val="22"/>
          <w:highlight w:val="none"/>
        </w:rPr>
      </w:pPr>
      <w:r>
        <w:rPr>
          <w:rFonts w:hint="eastAsia" w:ascii="宋体" w:hAnsi="宋体" w:eastAsia="宋体" w:cs="Times New Roman"/>
          <w:szCs w:val="22"/>
          <w:highlight w:val="none"/>
        </w:rPr>
        <w:t>（8</w:t>
      </w:r>
      <w:r>
        <w:rPr>
          <w:rFonts w:ascii="宋体" w:hAnsi="宋体" w:eastAsia="宋体" w:cs="Times New Roman"/>
          <w:szCs w:val="22"/>
          <w:highlight w:val="none"/>
        </w:rPr>
        <w:t>）支持以太网连接，支持802.11a/b/g/n</w:t>
      </w:r>
      <w:r>
        <w:rPr>
          <w:rFonts w:hint="eastAsia" w:ascii="宋体" w:hAnsi="宋体" w:eastAsia="宋体" w:cs="Times New Roman"/>
          <w:szCs w:val="22"/>
          <w:highlight w:val="none"/>
        </w:rPr>
        <w:t>/ac</w:t>
      </w:r>
      <w:r>
        <w:rPr>
          <w:rFonts w:ascii="宋体" w:hAnsi="宋体" w:eastAsia="宋体" w:cs="Times New Roman"/>
          <w:szCs w:val="22"/>
          <w:highlight w:val="none"/>
        </w:rPr>
        <w:t>高速无线传输，支持蓝牙4.0；</w:t>
      </w:r>
    </w:p>
    <w:p>
      <w:pPr>
        <w:widowControl/>
        <w:spacing w:line="400" w:lineRule="exact"/>
        <w:rPr>
          <w:rFonts w:ascii="仿宋" w:hAnsi="仿宋" w:cs="宋体"/>
          <w:color w:val="000000"/>
          <w:kern w:val="0"/>
          <w:sz w:val="22"/>
          <w:highlight w:val="none"/>
        </w:rPr>
      </w:pPr>
      <w:r>
        <w:rPr>
          <w:rFonts w:ascii="宋体" w:hAnsi="宋体" w:eastAsia="宋体" w:cs="宋体"/>
          <w:b/>
          <w:kern w:val="0"/>
          <w:sz w:val="20"/>
          <w:szCs w:val="20"/>
          <w:highlight w:val="none"/>
          <w:lang w:eastAsia="zh-Hans"/>
        </w:rPr>
        <w:t>[指标项</w:t>
      </w:r>
      <w:r>
        <w:rPr>
          <w:rFonts w:hint="eastAsia" w:ascii="宋体" w:hAnsi="宋体" w:eastAsia="宋体" w:cs="宋体"/>
          <w:b/>
          <w:kern w:val="0"/>
          <w:sz w:val="20"/>
          <w:szCs w:val="20"/>
          <w:highlight w:val="none"/>
        </w:rPr>
        <w:t>9</w:t>
      </w:r>
      <w:r>
        <w:rPr>
          <w:rFonts w:ascii="宋体" w:hAnsi="宋体" w:eastAsia="宋体" w:cs="宋体"/>
          <w:b/>
          <w:kern w:val="0"/>
          <w:sz w:val="20"/>
          <w:szCs w:val="20"/>
          <w:highlight w:val="none"/>
          <w:lang w:eastAsia="zh-Hans"/>
        </w:rPr>
        <w:t>]</w:t>
      </w:r>
    </w:p>
    <w:p>
      <w:pPr>
        <w:widowControl/>
        <w:spacing w:line="400" w:lineRule="exact"/>
        <w:rPr>
          <w:rFonts w:ascii="仿宋" w:hAnsi="仿宋" w:cs="宋体"/>
          <w:color w:val="000000"/>
          <w:kern w:val="0"/>
          <w:sz w:val="22"/>
          <w:highlight w:val="none"/>
        </w:rPr>
      </w:pPr>
      <w:r>
        <w:rPr>
          <w:rFonts w:hint="eastAsia" w:ascii="宋体" w:hAnsi="宋体" w:eastAsia="宋体" w:cs="Times New Roman"/>
          <w:szCs w:val="22"/>
          <w:highlight w:val="none"/>
        </w:rPr>
        <w:t>（9</w:t>
      </w:r>
      <w:r>
        <w:rPr>
          <w:rFonts w:ascii="宋体" w:hAnsi="宋体" w:eastAsia="宋体" w:cs="Times New Roman"/>
          <w:szCs w:val="22"/>
          <w:highlight w:val="none"/>
        </w:rPr>
        <w:t>）内置两个8欧3瓦的扬声器</w:t>
      </w:r>
    </w:p>
    <w:p>
      <w:pPr>
        <w:widowControl/>
        <w:spacing w:line="400" w:lineRule="exact"/>
        <w:rPr>
          <w:rFonts w:ascii="仿宋" w:hAnsi="仿宋" w:cs="宋体"/>
          <w:color w:val="000000"/>
          <w:kern w:val="0"/>
          <w:sz w:val="22"/>
          <w:highlight w:val="none"/>
        </w:rPr>
      </w:pPr>
      <w:r>
        <w:rPr>
          <w:rFonts w:hint="eastAsia" w:ascii="仿宋" w:hAnsi="仿宋" w:cs="宋体"/>
          <w:color w:val="000000"/>
          <w:kern w:val="0"/>
          <w:sz w:val="22"/>
          <w:highlight w:val="none"/>
        </w:rPr>
        <w:t>1.4硬件设备功能要求</w:t>
      </w:r>
    </w:p>
    <w:p>
      <w:pPr>
        <w:widowControl/>
        <w:spacing w:line="400" w:lineRule="exact"/>
        <w:rPr>
          <w:rFonts w:ascii="宋体" w:hAnsi="宋体" w:eastAsia="宋体" w:cs="宋体"/>
          <w:b/>
          <w:kern w:val="0"/>
          <w:sz w:val="20"/>
          <w:szCs w:val="20"/>
          <w:highlight w:val="none"/>
          <w:lang w:eastAsia="zh-Hans"/>
        </w:rPr>
      </w:pPr>
      <w:r>
        <w:rPr>
          <w:rFonts w:ascii="宋体" w:hAnsi="宋体" w:eastAsia="宋体" w:cs="宋体"/>
          <w:b/>
          <w:kern w:val="0"/>
          <w:sz w:val="20"/>
          <w:szCs w:val="20"/>
          <w:highlight w:val="none"/>
          <w:lang w:eastAsia="zh-Hans"/>
        </w:rPr>
        <w:t>[指标项</w:t>
      </w:r>
      <w:r>
        <w:rPr>
          <w:rFonts w:hint="eastAsia" w:ascii="宋体" w:hAnsi="宋体" w:eastAsia="宋体" w:cs="宋体"/>
          <w:b/>
          <w:kern w:val="0"/>
          <w:sz w:val="20"/>
          <w:szCs w:val="20"/>
          <w:highlight w:val="none"/>
        </w:rPr>
        <w:t>10</w:t>
      </w:r>
      <w:r>
        <w:rPr>
          <w:rFonts w:ascii="宋体" w:hAnsi="宋体" w:eastAsia="宋体" w:cs="宋体"/>
          <w:b/>
          <w:kern w:val="0"/>
          <w:sz w:val="20"/>
          <w:szCs w:val="20"/>
          <w:highlight w:val="none"/>
          <w:lang w:eastAsia="zh-Hans"/>
        </w:rPr>
        <w:t>]</w:t>
      </w:r>
    </w:p>
    <w:p>
      <w:pPr>
        <w:widowControl/>
        <w:spacing w:line="360" w:lineRule="auto"/>
        <w:jc w:val="left"/>
        <w:rPr>
          <w:rFonts w:ascii="宋体" w:hAnsi="宋体" w:eastAsia="宋体" w:cs="Times New Roman"/>
          <w:szCs w:val="22"/>
          <w:highlight w:val="none"/>
        </w:rPr>
      </w:pPr>
      <w:r>
        <w:rPr>
          <w:rFonts w:hint="eastAsia" w:ascii="宋体" w:hAnsi="宋体" w:eastAsia="宋体" w:cs="Times New Roman"/>
          <w:szCs w:val="22"/>
          <w:highlight w:val="none"/>
        </w:rPr>
        <w:t>（1）</w:t>
      </w:r>
      <w:r>
        <w:rPr>
          <w:rFonts w:ascii="宋体" w:hAnsi="宋体" w:eastAsia="宋体" w:cs="Times New Roman"/>
          <w:szCs w:val="22"/>
          <w:highlight w:val="none"/>
        </w:rPr>
        <w:t>具有虚拟现实显示方式与普通显示方式自动切换功能，当3D光学追踪眼镜出现在屏幕传感器捕捉范围内，显示方式由普通显示屏方式自动切换成3D显示方式，当3D光学追踪眼镜在屏幕传感器之外，显示方式自动切换至普通显示方式。</w:t>
      </w:r>
    </w:p>
    <w:p>
      <w:pPr>
        <w:widowControl/>
        <w:spacing w:line="360" w:lineRule="auto"/>
        <w:jc w:val="left"/>
        <w:rPr>
          <w:rFonts w:ascii="宋体" w:hAnsi="宋体" w:eastAsia="宋体" w:cs="Times New Roman"/>
          <w:szCs w:val="22"/>
          <w:highlight w:val="none"/>
        </w:rPr>
      </w:pPr>
      <w:r>
        <w:rPr>
          <w:rFonts w:hint="eastAsia" w:ascii="宋体" w:hAnsi="宋体" w:eastAsia="宋体" w:cs="Times New Roman"/>
          <w:szCs w:val="22"/>
          <w:highlight w:val="none"/>
        </w:rPr>
        <w:t>（</w:t>
      </w:r>
      <w:r>
        <w:rPr>
          <w:rFonts w:ascii="宋体" w:hAnsi="宋体" w:eastAsia="宋体" w:cs="Times New Roman"/>
          <w:szCs w:val="22"/>
          <w:highlight w:val="none"/>
        </w:rPr>
        <w:t>2）支持播放上下、左右格式的3D视频资源；</w:t>
      </w:r>
    </w:p>
    <w:p>
      <w:pPr>
        <w:widowControl/>
        <w:spacing w:line="360" w:lineRule="auto"/>
        <w:jc w:val="left"/>
        <w:rPr>
          <w:rFonts w:ascii="宋体" w:hAnsi="宋体" w:eastAsia="宋体" w:cs="Times New Roman"/>
          <w:szCs w:val="22"/>
          <w:highlight w:val="none"/>
        </w:rPr>
      </w:pPr>
      <w:r>
        <w:rPr>
          <w:rFonts w:hint="eastAsia" w:ascii="宋体" w:hAnsi="宋体" w:eastAsia="宋体" w:cs="Times New Roman"/>
          <w:szCs w:val="22"/>
          <w:highlight w:val="none"/>
        </w:rPr>
        <w:t>（</w:t>
      </w:r>
      <w:r>
        <w:rPr>
          <w:rFonts w:ascii="宋体" w:hAnsi="宋体" w:eastAsia="宋体" w:cs="Times New Roman"/>
          <w:szCs w:val="22"/>
          <w:highlight w:val="none"/>
        </w:rPr>
        <w:t>3）支持按键式2D/3D切换；</w:t>
      </w:r>
    </w:p>
    <w:p>
      <w:pPr>
        <w:widowControl/>
        <w:spacing w:line="400" w:lineRule="exact"/>
        <w:rPr>
          <w:rFonts w:ascii="仿宋" w:hAnsi="仿宋" w:cs="宋体"/>
          <w:color w:val="000000"/>
          <w:kern w:val="0"/>
          <w:sz w:val="22"/>
          <w:highlight w:val="none"/>
        </w:rPr>
      </w:pPr>
      <w:r>
        <w:rPr>
          <w:rFonts w:ascii="宋体" w:hAnsi="宋体" w:eastAsia="宋体" w:cs="宋体"/>
          <w:b/>
          <w:kern w:val="0"/>
          <w:sz w:val="20"/>
          <w:szCs w:val="20"/>
          <w:highlight w:val="none"/>
          <w:lang w:eastAsia="zh-Hans"/>
        </w:rPr>
        <w:t>[指标项</w:t>
      </w:r>
      <w:r>
        <w:rPr>
          <w:rFonts w:hint="eastAsia" w:ascii="宋体" w:hAnsi="宋体" w:eastAsia="宋体" w:cs="宋体"/>
          <w:b/>
          <w:kern w:val="0"/>
          <w:sz w:val="20"/>
          <w:szCs w:val="20"/>
          <w:highlight w:val="none"/>
        </w:rPr>
        <w:t>11</w:t>
      </w:r>
      <w:r>
        <w:rPr>
          <w:rFonts w:ascii="宋体" w:hAnsi="宋体" w:eastAsia="宋体" w:cs="宋体"/>
          <w:b/>
          <w:kern w:val="0"/>
          <w:sz w:val="20"/>
          <w:szCs w:val="20"/>
          <w:highlight w:val="none"/>
          <w:lang w:eastAsia="zh-Hans"/>
        </w:rPr>
        <w:t>]</w:t>
      </w:r>
    </w:p>
    <w:p>
      <w:pPr>
        <w:widowControl/>
        <w:spacing w:line="400" w:lineRule="exact"/>
        <w:rPr>
          <w:rFonts w:ascii="宋体" w:hAnsi="宋体" w:eastAsia="宋体" w:cs="Times New Roman"/>
          <w:szCs w:val="22"/>
          <w:highlight w:val="none"/>
        </w:rPr>
      </w:pPr>
      <w:r>
        <w:rPr>
          <w:rFonts w:hint="eastAsia" w:ascii="仿宋" w:hAnsi="仿宋" w:cs="宋体"/>
          <w:color w:val="000000"/>
          <w:kern w:val="0"/>
          <w:sz w:val="22"/>
          <w:highlight w:val="none"/>
        </w:rPr>
        <w:t>▲</w:t>
      </w:r>
      <w:r>
        <w:rPr>
          <w:rFonts w:hint="eastAsia" w:ascii="宋体" w:hAnsi="宋体" w:eastAsia="宋体" w:cs="Times New Roman"/>
          <w:szCs w:val="22"/>
          <w:highlight w:val="none"/>
        </w:rPr>
        <w:t>（4）系统内置智慧物联控制系统，不依赖任何外部蓝牙、</w:t>
      </w:r>
      <w:r>
        <w:rPr>
          <w:rFonts w:ascii="宋体" w:hAnsi="宋体" w:eastAsia="宋体" w:cs="Times New Roman"/>
          <w:szCs w:val="22"/>
          <w:highlight w:val="none"/>
        </w:rPr>
        <w:t>WIFI设备，支持同一空间内大于60台以上的设备进行自组网络，配合教师端及学生端智能控制软件，可实现教师机对学生机的运行状态进行：开机、关机、静默模式控制，同时，教师机也可对学生机进行：全局控制、分组控制、单台设备控制</w:t>
      </w:r>
      <w:r>
        <w:rPr>
          <w:rFonts w:hint="eastAsia" w:ascii="宋体" w:hAnsi="宋体" w:eastAsia="宋体" w:cs="宋体"/>
          <w:b/>
          <w:bCs/>
          <w:kern w:val="0"/>
          <w:sz w:val="20"/>
          <w:szCs w:val="20"/>
          <w:highlight w:val="none"/>
        </w:rPr>
        <w:t>（</w:t>
      </w:r>
      <w:r>
        <w:rPr>
          <w:rFonts w:hint="eastAsia" w:ascii="宋体" w:hAnsi="宋体" w:eastAsia="宋体" w:cs="Times New Roman"/>
          <w:b/>
          <w:bCs/>
          <w:szCs w:val="22"/>
          <w:highlight w:val="none"/>
        </w:rPr>
        <w:t>需提供具备CMA或CNAS认证的第三方检测机构出具的检测报告以验证参数</w:t>
      </w:r>
      <w:r>
        <w:rPr>
          <w:rFonts w:hint="eastAsia" w:ascii="宋体" w:hAnsi="宋体" w:eastAsia="宋体" w:cs="宋体"/>
          <w:b/>
          <w:bCs/>
          <w:kern w:val="0"/>
          <w:sz w:val="20"/>
          <w:szCs w:val="20"/>
          <w:highlight w:val="none"/>
        </w:rPr>
        <w:t>）</w:t>
      </w:r>
    </w:p>
    <w:p>
      <w:pPr>
        <w:widowControl/>
        <w:spacing w:line="400" w:lineRule="exact"/>
        <w:rPr>
          <w:rFonts w:ascii="宋体" w:hAnsi="宋体" w:eastAsia="宋体" w:cs="宋体"/>
          <w:b/>
          <w:kern w:val="0"/>
          <w:sz w:val="20"/>
          <w:szCs w:val="20"/>
          <w:highlight w:val="none"/>
          <w:lang w:eastAsia="zh-Hans"/>
        </w:rPr>
      </w:pPr>
    </w:p>
    <w:p>
      <w:pPr>
        <w:widowControl/>
        <w:spacing w:line="400" w:lineRule="exact"/>
        <w:rPr>
          <w:rFonts w:ascii="仿宋" w:hAnsi="仿宋" w:cs="宋体"/>
          <w:color w:val="000000"/>
          <w:kern w:val="0"/>
          <w:sz w:val="22"/>
          <w:highlight w:val="none"/>
        </w:rPr>
      </w:pPr>
      <w:r>
        <w:rPr>
          <w:rFonts w:ascii="宋体" w:hAnsi="宋体" w:eastAsia="宋体" w:cs="宋体"/>
          <w:b/>
          <w:kern w:val="0"/>
          <w:sz w:val="20"/>
          <w:szCs w:val="20"/>
          <w:highlight w:val="none"/>
          <w:lang w:eastAsia="zh-Hans"/>
        </w:rPr>
        <w:t>[指标项</w:t>
      </w:r>
      <w:r>
        <w:rPr>
          <w:rFonts w:hint="eastAsia" w:ascii="宋体" w:hAnsi="宋体" w:eastAsia="宋体" w:cs="宋体"/>
          <w:b/>
          <w:kern w:val="0"/>
          <w:sz w:val="20"/>
          <w:szCs w:val="20"/>
          <w:highlight w:val="none"/>
        </w:rPr>
        <w:t>12</w:t>
      </w:r>
      <w:r>
        <w:rPr>
          <w:rFonts w:ascii="宋体" w:hAnsi="宋体" w:eastAsia="宋体" w:cs="宋体"/>
          <w:b/>
          <w:kern w:val="0"/>
          <w:sz w:val="20"/>
          <w:szCs w:val="20"/>
          <w:highlight w:val="none"/>
          <w:lang w:eastAsia="zh-Hans"/>
        </w:rPr>
        <w:t>]</w:t>
      </w:r>
    </w:p>
    <w:p>
      <w:pPr>
        <w:widowControl/>
        <w:spacing w:line="360" w:lineRule="auto"/>
        <w:jc w:val="left"/>
        <w:rPr>
          <w:rFonts w:ascii="宋体" w:hAnsi="宋体" w:eastAsia="宋体" w:cs="Times New Roman"/>
          <w:b/>
          <w:bCs/>
          <w:color w:val="FF0000"/>
          <w:szCs w:val="22"/>
          <w:highlight w:val="none"/>
        </w:rPr>
      </w:pPr>
      <w:r>
        <w:rPr>
          <w:rFonts w:hint="eastAsia" w:ascii="仿宋" w:hAnsi="仿宋" w:cs="宋体"/>
          <w:color w:val="000000"/>
          <w:kern w:val="0"/>
          <w:sz w:val="22"/>
          <w:highlight w:val="none"/>
        </w:rPr>
        <w:t>▲</w:t>
      </w:r>
      <w:r>
        <w:rPr>
          <w:rFonts w:hint="eastAsia" w:ascii="宋体" w:hAnsi="宋体" w:eastAsia="宋体" w:cs="Times New Roman"/>
          <w:szCs w:val="22"/>
          <w:highlight w:val="none"/>
        </w:rPr>
        <w:t>（5</w:t>
      </w:r>
      <w:r>
        <w:rPr>
          <w:rFonts w:ascii="宋体" w:hAnsi="宋体" w:eastAsia="宋体" w:cs="Times New Roman"/>
          <w:szCs w:val="22"/>
          <w:highlight w:val="none"/>
        </w:rPr>
        <w:t>）</w:t>
      </w:r>
      <w:r>
        <w:rPr>
          <w:rFonts w:hint="eastAsia" w:ascii="宋体" w:hAnsi="宋体" w:eastAsia="宋体" w:cs="Times New Roman"/>
          <w:szCs w:val="22"/>
          <w:highlight w:val="none"/>
        </w:rPr>
        <w:t>可提供Unity3D、C++等常见开发平台的SDK，支持二次开发；Unity3D支持2017及以上版本，不限制Unity版本，有中英文版本SDK适配文档，支持编辑器下开启立体预览。</w:t>
      </w:r>
      <w:r>
        <w:rPr>
          <w:rFonts w:hint="eastAsia" w:ascii="仿宋" w:hAnsi="仿宋" w:cs="宋体"/>
          <w:b/>
          <w:bCs/>
          <w:color w:val="000000"/>
          <w:kern w:val="0"/>
          <w:sz w:val="22"/>
          <w:highlight w:val="none"/>
        </w:rPr>
        <w:t>（需提供代码截图、中英文文档在线截图、编辑器下开启立体预览功能PDF介绍文档或视频等证明材</w:t>
      </w:r>
      <w:r>
        <w:rPr>
          <w:rFonts w:hint="eastAsia" w:ascii="宋体" w:hAnsi="宋体" w:eastAsia="宋体" w:cs="Times New Roman"/>
          <w:b/>
          <w:bCs/>
          <w:szCs w:val="22"/>
          <w:highlight w:val="none"/>
        </w:rPr>
        <w:t>料）</w:t>
      </w:r>
    </w:p>
    <w:p>
      <w:pPr>
        <w:widowControl/>
        <w:spacing w:line="400" w:lineRule="exact"/>
        <w:rPr>
          <w:rFonts w:ascii="宋体" w:hAnsi="宋体" w:eastAsia="宋体" w:cs="宋体"/>
          <w:b/>
          <w:kern w:val="0"/>
          <w:sz w:val="20"/>
          <w:szCs w:val="20"/>
          <w:highlight w:val="none"/>
          <w:lang w:eastAsia="zh-Hans"/>
        </w:rPr>
      </w:pPr>
    </w:p>
    <w:p>
      <w:pPr>
        <w:widowControl/>
        <w:spacing w:line="400" w:lineRule="exact"/>
        <w:rPr>
          <w:rFonts w:ascii="仿宋" w:hAnsi="仿宋" w:cs="宋体"/>
          <w:color w:val="000000"/>
          <w:kern w:val="0"/>
          <w:sz w:val="22"/>
          <w:highlight w:val="none"/>
        </w:rPr>
      </w:pPr>
      <w:r>
        <w:rPr>
          <w:rFonts w:ascii="宋体" w:hAnsi="宋体" w:eastAsia="宋体" w:cs="宋体"/>
          <w:b/>
          <w:kern w:val="0"/>
          <w:sz w:val="20"/>
          <w:szCs w:val="20"/>
          <w:highlight w:val="none"/>
          <w:lang w:eastAsia="zh-Hans"/>
        </w:rPr>
        <w:t>[指标项</w:t>
      </w:r>
      <w:r>
        <w:rPr>
          <w:rFonts w:hint="eastAsia" w:ascii="宋体" w:hAnsi="宋体" w:eastAsia="宋体" w:cs="宋体"/>
          <w:b/>
          <w:kern w:val="0"/>
          <w:sz w:val="20"/>
          <w:szCs w:val="20"/>
          <w:highlight w:val="none"/>
        </w:rPr>
        <w:t>13</w:t>
      </w:r>
      <w:r>
        <w:rPr>
          <w:rFonts w:ascii="宋体" w:hAnsi="宋体" w:eastAsia="宋体" w:cs="宋体"/>
          <w:b/>
          <w:kern w:val="0"/>
          <w:sz w:val="20"/>
          <w:szCs w:val="20"/>
          <w:highlight w:val="none"/>
          <w:lang w:eastAsia="zh-Hans"/>
        </w:rPr>
        <w:t>]</w:t>
      </w:r>
    </w:p>
    <w:p>
      <w:pPr>
        <w:pStyle w:val="2"/>
        <w:rPr>
          <w:color w:val="FF0000"/>
          <w:highlight w:val="none"/>
        </w:rPr>
      </w:pPr>
      <w:r>
        <w:rPr>
          <w:rFonts w:hint="eastAsia"/>
          <w:highlight w:val="none"/>
        </w:rPr>
        <w:t>（6</w:t>
      </w:r>
      <w:r>
        <w:rPr>
          <w:highlight w:val="none"/>
        </w:rPr>
        <w:t>）</w:t>
      </w:r>
      <w:r>
        <w:rPr>
          <w:rFonts w:hint="eastAsia"/>
          <w:highlight w:val="none"/>
        </w:rPr>
        <w:t>内置Control panel工具软件，通过可视化界面操作，使用者可快速、便捷地对桌面一体机进行硬件及环境检测、功能验证、故障自动修复、故障排查等工作。含五个模块，分别为：本机接线图（可查看机器侧面和背面硬件接口示意图）、系统信息查看（可实时检测系统信息、设备信息、服务状态、屏幕信息、电源等信息）、立体效果测试（可佩戴 3D 眼镜查看模型显示的立体效果是否正常）、空间定位笔查看（可实时查看定位笔的连接状态、姿态数据是否正常，按键功能是否正常，可调节测试震动强度等）、追踪系统测试（可实时确认追踪系统功能调用是否正常；将追踪眼镜置入追踪范围内可检测追踪状态及眼镜空间坐标值的变化是否正常；连接上定位笔，将定位笔置入追踪范围内可检测追踪状态及定位笔空间坐标值、旋转值的变化是否正常）。</w:t>
      </w:r>
    </w:p>
    <w:p>
      <w:pPr>
        <w:widowControl/>
        <w:spacing w:line="400" w:lineRule="exact"/>
        <w:rPr>
          <w:rFonts w:ascii="仿宋" w:hAnsi="仿宋" w:cs="宋体"/>
          <w:color w:val="000000"/>
          <w:kern w:val="0"/>
          <w:sz w:val="22"/>
          <w:highlight w:val="none"/>
        </w:rPr>
      </w:pPr>
      <w:r>
        <w:rPr>
          <w:rFonts w:ascii="宋体" w:hAnsi="宋体" w:eastAsia="宋体" w:cs="宋体"/>
          <w:b/>
          <w:kern w:val="0"/>
          <w:sz w:val="20"/>
          <w:szCs w:val="20"/>
          <w:highlight w:val="none"/>
          <w:lang w:eastAsia="zh-Hans"/>
        </w:rPr>
        <w:t>[指标项</w:t>
      </w:r>
      <w:r>
        <w:rPr>
          <w:rFonts w:hint="eastAsia" w:ascii="宋体" w:hAnsi="宋体" w:eastAsia="宋体" w:cs="宋体"/>
          <w:b/>
          <w:kern w:val="0"/>
          <w:sz w:val="20"/>
          <w:szCs w:val="20"/>
          <w:highlight w:val="none"/>
        </w:rPr>
        <w:t>14</w:t>
      </w:r>
      <w:r>
        <w:rPr>
          <w:rFonts w:ascii="宋体" w:hAnsi="宋体" w:eastAsia="宋体" w:cs="宋体"/>
          <w:b/>
          <w:kern w:val="0"/>
          <w:sz w:val="20"/>
          <w:szCs w:val="20"/>
          <w:highlight w:val="none"/>
          <w:lang w:eastAsia="zh-Hans"/>
        </w:rPr>
        <w:t>]</w:t>
      </w:r>
    </w:p>
    <w:p>
      <w:pPr>
        <w:pStyle w:val="2"/>
        <w:rPr>
          <w:color w:val="FF0000"/>
          <w:highlight w:val="none"/>
        </w:rPr>
      </w:pPr>
      <w:r>
        <w:rPr>
          <w:rFonts w:hint="eastAsia"/>
          <w:highlight w:val="none"/>
        </w:rPr>
        <w:t>（7</w:t>
      </w:r>
      <w:r>
        <w:rPr>
          <w:highlight w:val="none"/>
        </w:rPr>
        <w:t>）</w:t>
      </w:r>
      <w:r>
        <w:rPr>
          <w:rFonts w:hint="eastAsia"/>
          <w:highlight w:val="none"/>
        </w:rPr>
        <w:t>内置XR软件xview，可搭配外接AR摄像头和外接大屏扩展显示，实现AR功能效果展示，即在一体机端交互拖动3D模型，可以在外接大屏同步观看3D模型被拖出屏幕到现实空间中的视觉效果，结合现实环境进行AR效果教学或展示；可搭配带3D显示功能的大屏做扩屏模式显示，实现立体3d的VR投屏功能。</w:t>
      </w:r>
    </w:p>
    <w:p>
      <w:pPr>
        <w:widowControl/>
        <w:spacing w:line="400" w:lineRule="exact"/>
        <w:rPr>
          <w:rFonts w:ascii="仿宋" w:hAnsi="仿宋" w:cs="宋体"/>
          <w:color w:val="000000"/>
          <w:kern w:val="0"/>
          <w:sz w:val="22"/>
          <w:highlight w:val="none"/>
        </w:rPr>
      </w:pPr>
      <w:r>
        <w:rPr>
          <w:rFonts w:ascii="宋体" w:hAnsi="宋体" w:eastAsia="宋体" w:cs="宋体"/>
          <w:b/>
          <w:kern w:val="0"/>
          <w:sz w:val="20"/>
          <w:szCs w:val="20"/>
          <w:highlight w:val="none"/>
          <w:lang w:eastAsia="zh-Hans"/>
        </w:rPr>
        <w:t>[指标项</w:t>
      </w:r>
      <w:r>
        <w:rPr>
          <w:rFonts w:hint="eastAsia" w:ascii="宋体" w:hAnsi="宋体" w:eastAsia="宋体" w:cs="宋体"/>
          <w:b/>
          <w:kern w:val="0"/>
          <w:sz w:val="20"/>
          <w:szCs w:val="20"/>
          <w:highlight w:val="none"/>
        </w:rPr>
        <w:t>15</w:t>
      </w:r>
      <w:r>
        <w:rPr>
          <w:rFonts w:ascii="宋体" w:hAnsi="宋体" w:eastAsia="宋体" w:cs="宋体"/>
          <w:b/>
          <w:kern w:val="0"/>
          <w:sz w:val="20"/>
          <w:szCs w:val="20"/>
          <w:highlight w:val="none"/>
          <w:lang w:eastAsia="zh-Hans"/>
        </w:rPr>
        <w:t>]</w:t>
      </w:r>
    </w:p>
    <w:p>
      <w:pPr>
        <w:widowControl/>
        <w:spacing w:line="360" w:lineRule="auto"/>
        <w:jc w:val="left"/>
        <w:rPr>
          <w:rFonts w:ascii="宋体" w:hAnsi="宋体" w:eastAsia="宋体" w:cs="Times New Roman"/>
          <w:b/>
          <w:bCs/>
          <w:szCs w:val="22"/>
          <w:highlight w:val="none"/>
        </w:rPr>
      </w:pPr>
      <w:r>
        <w:rPr>
          <w:rFonts w:hint="eastAsia" w:ascii="仿宋" w:hAnsi="仿宋" w:cs="宋体"/>
          <w:color w:val="000000"/>
          <w:kern w:val="0"/>
          <w:sz w:val="22"/>
          <w:highlight w:val="none"/>
        </w:rPr>
        <w:t>▲</w:t>
      </w:r>
      <w:r>
        <w:rPr>
          <w:rFonts w:hint="eastAsia" w:ascii="宋体" w:hAnsi="宋体" w:eastAsia="宋体" w:cs="Times New Roman"/>
          <w:szCs w:val="22"/>
          <w:highlight w:val="none"/>
          <w:lang w:val="en-US" w:eastAsia="zh-CN"/>
        </w:rPr>
        <w:t>1.</w:t>
      </w:r>
      <w:r>
        <w:rPr>
          <w:rFonts w:ascii="宋体" w:hAnsi="宋体" w:eastAsia="宋体" w:cs="Times New Roman"/>
          <w:szCs w:val="22"/>
          <w:highlight w:val="none"/>
        </w:rPr>
        <w:t>5</w:t>
      </w:r>
      <w:r>
        <w:rPr>
          <w:rFonts w:hint="eastAsia" w:ascii="仿宋" w:hAnsi="仿宋" w:cs="宋体"/>
          <w:color w:val="000000"/>
          <w:kern w:val="0"/>
          <w:sz w:val="22"/>
          <w:highlight w:val="none"/>
        </w:rPr>
        <w:t xml:space="preserve"> </w:t>
      </w:r>
      <w:r>
        <w:rPr>
          <w:rFonts w:hint="eastAsia" w:ascii="宋体" w:hAnsi="宋体" w:eastAsia="宋体" w:cs="Times New Roman"/>
          <w:szCs w:val="22"/>
          <w:highlight w:val="none"/>
        </w:rPr>
        <w:t>显示、</w:t>
      </w:r>
      <w:r>
        <w:rPr>
          <w:rFonts w:ascii="宋体" w:hAnsi="宋体" w:eastAsia="宋体" w:cs="Times New Roman"/>
          <w:szCs w:val="22"/>
          <w:highlight w:val="none"/>
        </w:rPr>
        <w:t>跟踪系统参数</w:t>
      </w:r>
      <w:r>
        <w:rPr>
          <w:rFonts w:ascii="宋体" w:hAnsi="宋体" w:eastAsia="宋体" w:cs="Times New Roman"/>
          <w:b/>
          <w:bCs/>
          <w:szCs w:val="22"/>
          <w:highlight w:val="none"/>
        </w:rPr>
        <w:t>（需提供具备CMA或CNAS认证的第三方检测机构出具的检测报告以验证参数）</w:t>
      </w:r>
    </w:p>
    <w:p>
      <w:pPr>
        <w:widowControl/>
        <w:spacing w:line="360" w:lineRule="auto"/>
        <w:jc w:val="left"/>
        <w:rPr>
          <w:rFonts w:ascii="宋体" w:hAnsi="宋体" w:eastAsia="宋体" w:cs="Times New Roman"/>
          <w:szCs w:val="22"/>
          <w:highlight w:val="none"/>
        </w:rPr>
      </w:pPr>
      <w:r>
        <w:rPr>
          <w:rFonts w:hint="eastAsia" w:ascii="宋体" w:hAnsi="宋体" w:eastAsia="宋体" w:cs="Times New Roman"/>
          <w:szCs w:val="22"/>
          <w:highlight w:val="none"/>
        </w:rPr>
        <w:t>（</w:t>
      </w:r>
      <w:r>
        <w:rPr>
          <w:rFonts w:ascii="宋体" w:hAnsi="宋体" w:eastAsia="宋体" w:cs="Times New Roman"/>
          <w:szCs w:val="22"/>
          <w:highlight w:val="none"/>
        </w:rPr>
        <w:t>1）3D显示跟踪系统内置NVIDIA 3D vision处理系统和3D同步蓝牙信号发射系统，3D同步信号</w:t>
      </w:r>
      <w:r>
        <w:rPr>
          <w:rFonts w:hint="eastAsia" w:ascii="宋体" w:hAnsi="宋体" w:eastAsia="宋体" w:cs="Times New Roman"/>
          <w:szCs w:val="22"/>
          <w:highlight w:val="none"/>
        </w:rPr>
        <w:t>有效覆盖范围</w:t>
      </w:r>
      <w:r>
        <w:rPr>
          <w:rFonts w:ascii="宋体" w:hAnsi="宋体" w:eastAsia="宋体" w:cs="Times New Roman"/>
          <w:szCs w:val="22"/>
          <w:highlight w:val="none"/>
        </w:rPr>
        <w:t>≥10</w:t>
      </w:r>
      <w:r>
        <w:rPr>
          <w:rFonts w:hint="eastAsia" w:ascii="宋体" w:hAnsi="宋体" w:eastAsia="宋体" w:cs="Times New Roman"/>
          <w:szCs w:val="22"/>
          <w:highlight w:val="none"/>
        </w:rPr>
        <w:t>米，信号</w:t>
      </w:r>
      <w:r>
        <w:rPr>
          <w:rFonts w:ascii="宋体" w:hAnsi="宋体" w:eastAsia="宋体" w:cs="Times New Roman"/>
          <w:szCs w:val="22"/>
          <w:highlight w:val="none"/>
        </w:rPr>
        <w:t>传输稳定</w:t>
      </w:r>
      <w:r>
        <w:rPr>
          <w:rFonts w:hint="eastAsia" w:ascii="宋体" w:hAnsi="宋体" w:eastAsia="宋体" w:cs="Times New Roman"/>
          <w:szCs w:val="22"/>
          <w:highlight w:val="none"/>
        </w:rPr>
        <w:t>，抗干扰；</w:t>
      </w:r>
    </w:p>
    <w:p>
      <w:pPr>
        <w:widowControl/>
        <w:spacing w:line="360" w:lineRule="auto"/>
        <w:jc w:val="left"/>
        <w:rPr>
          <w:rFonts w:ascii="宋体" w:hAnsi="宋体" w:eastAsia="宋体" w:cs="Times New Roman"/>
          <w:szCs w:val="22"/>
          <w:highlight w:val="none"/>
        </w:rPr>
      </w:pPr>
      <w:r>
        <w:rPr>
          <w:rFonts w:hint="eastAsia" w:ascii="宋体" w:hAnsi="宋体" w:eastAsia="宋体" w:cs="Times New Roman"/>
          <w:szCs w:val="22"/>
          <w:highlight w:val="none"/>
        </w:rPr>
        <w:t>（</w:t>
      </w:r>
      <w:r>
        <w:rPr>
          <w:rFonts w:ascii="宋体" w:hAnsi="宋体" w:eastAsia="宋体" w:cs="Times New Roman"/>
          <w:szCs w:val="22"/>
          <w:highlight w:val="none"/>
        </w:rPr>
        <w:t>2）3D显示追踪系统至少包含2路HDMI输入接口，且每一路HDMI接口都支持120hz信号源输入；</w:t>
      </w:r>
    </w:p>
    <w:p>
      <w:pPr>
        <w:widowControl/>
        <w:spacing w:line="360" w:lineRule="auto"/>
        <w:jc w:val="left"/>
        <w:rPr>
          <w:rFonts w:ascii="宋体" w:hAnsi="宋体" w:eastAsia="宋体" w:cs="Times New Roman"/>
          <w:szCs w:val="22"/>
          <w:highlight w:val="none"/>
        </w:rPr>
      </w:pPr>
      <w:r>
        <w:rPr>
          <w:rFonts w:hint="eastAsia" w:ascii="宋体" w:hAnsi="宋体" w:eastAsia="宋体" w:cs="Times New Roman"/>
          <w:szCs w:val="22"/>
          <w:highlight w:val="none"/>
        </w:rPr>
        <w:t>（</w:t>
      </w:r>
      <w:r>
        <w:rPr>
          <w:rFonts w:ascii="宋体" w:hAnsi="宋体" w:eastAsia="宋体" w:cs="Times New Roman"/>
          <w:szCs w:val="22"/>
          <w:highlight w:val="none"/>
        </w:rPr>
        <w:t>3）3D显示追踪系统支持一键控制信号源切换</w:t>
      </w:r>
      <w:r>
        <w:rPr>
          <w:rFonts w:hint="eastAsia" w:ascii="宋体" w:hAnsi="宋体" w:eastAsia="宋体" w:cs="Times New Roman"/>
          <w:szCs w:val="22"/>
          <w:highlight w:val="none"/>
        </w:rPr>
        <w:t>；</w:t>
      </w:r>
    </w:p>
    <w:p>
      <w:pPr>
        <w:widowControl/>
        <w:spacing w:line="360" w:lineRule="auto"/>
        <w:jc w:val="left"/>
        <w:rPr>
          <w:rFonts w:ascii="宋体" w:hAnsi="宋体" w:eastAsia="宋体" w:cs="Times New Roman"/>
          <w:szCs w:val="22"/>
          <w:highlight w:val="none"/>
        </w:rPr>
      </w:pPr>
      <w:r>
        <w:rPr>
          <w:rFonts w:hint="eastAsia" w:ascii="宋体" w:hAnsi="宋体" w:eastAsia="宋体" w:cs="Times New Roman"/>
          <w:szCs w:val="22"/>
          <w:highlight w:val="none"/>
        </w:rPr>
        <w:t>（4</w:t>
      </w:r>
      <w:r>
        <w:rPr>
          <w:rFonts w:ascii="宋体" w:hAnsi="宋体" w:eastAsia="宋体" w:cs="Times New Roman"/>
          <w:szCs w:val="22"/>
          <w:highlight w:val="none"/>
        </w:rPr>
        <w:t>）跟踪系统包含：≥3组红外传感器，每组红外传感器都包含2个同步双目相机，单组红外传感器即可实现对目标物的实时跟踪；3组红外传感器协同工作，可提升对目标物追踪的覆盖范围及追踪系统的精度；</w:t>
      </w:r>
    </w:p>
    <w:p>
      <w:pPr>
        <w:widowControl/>
        <w:spacing w:line="360" w:lineRule="auto"/>
        <w:jc w:val="left"/>
        <w:rPr>
          <w:rFonts w:ascii="宋体" w:hAnsi="宋体" w:eastAsia="宋体" w:cs="Times New Roman"/>
          <w:szCs w:val="22"/>
          <w:highlight w:val="none"/>
        </w:rPr>
      </w:pPr>
      <w:r>
        <w:rPr>
          <w:rFonts w:hint="eastAsia" w:ascii="宋体" w:hAnsi="宋体" w:eastAsia="宋体" w:cs="Times New Roman"/>
          <w:szCs w:val="22"/>
          <w:highlight w:val="none"/>
        </w:rPr>
        <w:t>（5</w:t>
      </w:r>
      <w:r>
        <w:rPr>
          <w:rFonts w:ascii="宋体" w:hAnsi="宋体" w:eastAsia="宋体" w:cs="Times New Roman"/>
          <w:szCs w:val="22"/>
          <w:highlight w:val="none"/>
        </w:rPr>
        <w:t>）跟踪系统包含：≥3组红外光源阵列，每组红外光源阵列配置有4个红外光源灯，均匀分布保证光照亮度；</w:t>
      </w:r>
    </w:p>
    <w:p>
      <w:pPr>
        <w:widowControl/>
        <w:spacing w:line="360" w:lineRule="auto"/>
        <w:jc w:val="left"/>
        <w:rPr>
          <w:rFonts w:ascii="宋体" w:hAnsi="宋体" w:eastAsia="宋体" w:cs="Times New Roman"/>
          <w:szCs w:val="22"/>
          <w:highlight w:val="none"/>
        </w:rPr>
      </w:pPr>
      <w:r>
        <w:rPr>
          <w:rFonts w:hint="eastAsia" w:ascii="宋体" w:hAnsi="宋体" w:eastAsia="宋体" w:cs="Times New Roman"/>
          <w:szCs w:val="22"/>
          <w:highlight w:val="none"/>
        </w:rPr>
        <w:t>（6</w:t>
      </w:r>
      <w:r>
        <w:rPr>
          <w:rFonts w:ascii="宋体" w:hAnsi="宋体" w:eastAsia="宋体" w:cs="Times New Roman"/>
          <w:szCs w:val="22"/>
          <w:highlight w:val="none"/>
        </w:rPr>
        <w:t>）3D显示跟踪系统的追踪系统可实时输出当前显示系统的姿态信息，并将当前显示系统的姿态信息映射到虚拟场景，获得最精准的3D显示图像；</w:t>
      </w:r>
    </w:p>
    <w:p>
      <w:pPr>
        <w:widowControl/>
        <w:spacing w:line="360" w:lineRule="auto"/>
        <w:jc w:val="left"/>
        <w:rPr>
          <w:rFonts w:hint="eastAsia" w:ascii="宋体" w:hAnsi="宋体" w:eastAsia="宋体" w:cs="Times New Roman"/>
          <w:szCs w:val="22"/>
          <w:highlight w:val="none"/>
        </w:rPr>
      </w:pPr>
      <w:r>
        <w:rPr>
          <w:rFonts w:hint="eastAsia" w:ascii="宋体" w:hAnsi="宋体" w:eastAsia="宋体" w:cs="Times New Roman"/>
          <w:szCs w:val="22"/>
          <w:highlight w:val="none"/>
        </w:rPr>
        <w:t>（7</w:t>
      </w:r>
      <w:r>
        <w:rPr>
          <w:rFonts w:ascii="宋体" w:hAnsi="宋体" w:eastAsia="宋体" w:cs="Times New Roman"/>
          <w:szCs w:val="22"/>
          <w:highlight w:val="none"/>
        </w:rPr>
        <w:t>）</w:t>
      </w:r>
      <w:r>
        <w:rPr>
          <w:rFonts w:hint="eastAsia" w:ascii="宋体" w:hAnsi="宋体" w:eastAsia="宋体" w:cs="Times New Roman"/>
          <w:szCs w:val="22"/>
          <w:highlight w:val="none"/>
        </w:rPr>
        <w:t>3</w:t>
      </w:r>
      <w:r>
        <w:rPr>
          <w:rFonts w:ascii="宋体" w:hAnsi="宋体" w:eastAsia="宋体" w:cs="Times New Roman"/>
          <w:szCs w:val="22"/>
          <w:highlight w:val="none"/>
        </w:rPr>
        <w:t>D</w:t>
      </w:r>
      <w:r>
        <w:rPr>
          <w:rFonts w:hint="eastAsia" w:ascii="宋体" w:hAnsi="宋体" w:eastAsia="宋体" w:cs="Times New Roman"/>
          <w:szCs w:val="22"/>
          <w:highlight w:val="none"/>
        </w:rPr>
        <w:t>显示</w:t>
      </w:r>
      <w:r>
        <w:rPr>
          <w:rFonts w:ascii="宋体" w:hAnsi="宋体" w:eastAsia="宋体" w:cs="Times New Roman"/>
          <w:szCs w:val="22"/>
          <w:highlight w:val="none"/>
        </w:rPr>
        <w:t>系统支持窗口/全屏3D，120Hz或以上刷新率；</w:t>
      </w:r>
    </w:p>
    <w:p>
      <w:pPr>
        <w:widowControl/>
        <w:spacing w:line="400" w:lineRule="exact"/>
        <w:rPr>
          <w:rFonts w:ascii="宋体" w:hAnsi="宋体" w:eastAsia="宋体" w:cs="宋体"/>
          <w:b/>
          <w:kern w:val="0"/>
          <w:sz w:val="20"/>
          <w:szCs w:val="20"/>
          <w:highlight w:val="none"/>
          <w:lang w:eastAsia="zh-Hans"/>
        </w:rPr>
      </w:pPr>
      <w:r>
        <w:rPr>
          <w:rFonts w:ascii="宋体" w:hAnsi="宋体" w:eastAsia="宋体" w:cs="宋体"/>
          <w:b/>
          <w:kern w:val="0"/>
          <w:sz w:val="20"/>
          <w:szCs w:val="20"/>
          <w:highlight w:val="none"/>
          <w:lang w:eastAsia="zh-Hans"/>
        </w:rPr>
        <w:t>[指标项</w:t>
      </w:r>
      <w:r>
        <w:rPr>
          <w:rFonts w:hint="eastAsia" w:ascii="宋体" w:hAnsi="宋体" w:eastAsia="宋体" w:cs="宋体"/>
          <w:b/>
          <w:kern w:val="0"/>
          <w:sz w:val="20"/>
          <w:szCs w:val="20"/>
          <w:highlight w:val="none"/>
        </w:rPr>
        <w:t>16</w:t>
      </w:r>
      <w:r>
        <w:rPr>
          <w:rFonts w:ascii="宋体" w:hAnsi="宋体" w:eastAsia="宋体" w:cs="宋体"/>
          <w:b/>
          <w:kern w:val="0"/>
          <w:sz w:val="20"/>
          <w:szCs w:val="20"/>
          <w:highlight w:val="none"/>
          <w:lang w:eastAsia="zh-Hans"/>
        </w:rPr>
        <w:t>]</w:t>
      </w:r>
    </w:p>
    <w:p>
      <w:pPr>
        <w:widowControl/>
        <w:spacing w:line="360" w:lineRule="auto"/>
        <w:jc w:val="left"/>
        <w:rPr>
          <w:rFonts w:ascii="宋体" w:hAnsi="宋体" w:eastAsia="宋体" w:cs="Times New Roman"/>
          <w:szCs w:val="22"/>
          <w:highlight w:val="none"/>
        </w:rPr>
      </w:pPr>
      <w:r>
        <w:rPr>
          <w:rFonts w:hint="eastAsia" w:ascii="宋体" w:hAnsi="宋体" w:eastAsia="宋体" w:cs="Times New Roman"/>
          <w:szCs w:val="22"/>
          <w:highlight w:val="none"/>
          <w:lang w:val="en-US" w:eastAsia="zh-CN"/>
        </w:rPr>
        <w:t>1.</w:t>
      </w:r>
      <w:r>
        <w:rPr>
          <w:rFonts w:ascii="宋体" w:hAnsi="宋体" w:eastAsia="宋体" w:cs="Times New Roman"/>
          <w:szCs w:val="22"/>
          <w:highlight w:val="none"/>
        </w:rPr>
        <w:t>6</w:t>
      </w:r>
      <w:r>
        <w:rPr>
          <w:rFonts w:hint="eastAsia" w:ascii="宋体" w:hAnsi="宋体" w:eastAsia="宋体" w:cs="Times New Roman"/>
          <w:szCs w:val="22"/>
          <w:highlight w:val="none"/>
          <w:lang w:val="en-US" w:eastAsia="zh-CN"/>
        </w:rPr>
        <w:t xml:space="preserve"> </w:t>
      </w:r>
      <w:r>
        <w:rPr>
          <w:rFonts w:ascii="宋体" w:hAnsi="宋体" w:eastAsia="宋体" w:cs="Times New Roman"/>
          <w:szCs w:val="22"/>
          <w:highlight w:val="none"/>
        </w:rPr>
        <w:t>配套</w:t>
      </w:r>
      <w:r>
        <w:rPr>
          <w:rFonts w:hint="eastAsia" w:ascii="宋体" w:hAnsi="宋体" w:eastAsia="宋体" w:cs="Times New Roman"/>
          <w:szCs w:val="22"/>
          <w:highlight w:val="none"/>
        </w:rPr>
        <w:t>3D</w:t>
      </w:r>
      <w:r>
        <w:rPr>
          <w:rFonts w:ascii="宋体" w:hAnsi="宋体" w:eastAsia="宋体" w:cs="Times New Roman"/>
          <w:szCs w:val="22"/>
          <w:highlight w:val="none"/>
        </w:rPr>
        <w:t>光学追踪眼镜设备参数要求</w:t>
      </w:r>
      <w:r>
        <w:rPr>
          <w:rFonts w:hint="eastAsia" w:ascii="宋体" w:hAnsi="宋体" w:eastAsia="宋体" w:cs="Times New Roman"/>
          <w:szCs w:val="22"/>
          <w:highlight w:val="none"/>
        </w:rPr>
        <w:t>：</w:t>
      </w:r>
    </w:p>
    <w:p>
      <w:pPr>
        <w:widowControl/>
        <w:numPr>
          <w:ilvl w:val="0"/>
          <w:numId w:val="0"/>
        </w:numPr>
        <w:spacing w:line="400" w:lineRule="exact"/>
        <w:rPr>
          <w:rFonts w:ascii="仿宋" w:hAnsi="仿宋" w:cs="宋体"/>
          <w:color w:val="000000"/>
          <w:kern w:val="0"/>
          <w:sz w:val="22"/>
          <w:highlight w:val="none"/>
        </w:rPr>
      </w:pPr>
      <w:r>
        <w:rPr>
          <w:rFonts w:hint="eastAsia" w:ascii="仿宋" w:hAnsi="仿宋" w:cs="宋体"/>
          <w:color w:val="000000"/>
          <w:kern w:val="0"/>
          <w:sz w:val="22"/>
          <w:highlight w:val="none"/>
        </w:rPr>
        <w:t>▲</w:t>
      </w:r>
      <w:r>
        <w:rPr>
          <w:rFonts w:ascii="仿宋" w:hAnsi="仿宋" w:cs="宋体" w:eastAsiaTheme="minorEastAsia"/>
          <w:color w:val="000000"/>
          <w:kern w:val="0"/>
          <w:sz w:val="22"/>
          <w:szCs w:val="24"/>
          <w:highlight w:val="none"/>
          <w:lang w:val="en-US" w:eastAsia="zh-CN" w:bidi="ar-SA"/>
        </w:rPr>
        <w:t>（1）</w:t>
      </w:r>
      <w:r>
        <w:rPr>
          <w:rFonts w:ascii="宋体" w:hAnsi="宋体" w:eastAsia="宋体" w:cs="Times New Roman"/>
          <w:szCs w:val="22"/>
          <w:highlight w:val="none"/>
        </w:rPr>
        <w:t>精准追踪定位：蓝牙眼镜结构具备≥5个追踪Mark点，追踪系统捕捉到任意3点即可实现精准追踪定位；</w:t>
      </w:r>
      <w:r>
        <w:rPr>
          <w:rFonts w:hint="eastAsia" w:ascii="仿宋" w:hAnsi="仿宋" w:cs="宋体"/>
          <w:b/>
          <w:bCs/>
          <w:color w:val="000000"/>
          <w:kern w:val="0"/>
          <w:sz w:val="22"/>
          <w:highlight w:val="none"/>
        </w:rPr>
        <w:t>（需提供具备CMA或CNAS认证的第三方检测机构出具的检测报告以验证参数）</w:t>
      </w:r>
      <w:r>
        <w:rPr>
          <w:rFonts w:hint="eastAsia" w:ascii="仿宋" w:hAnsi="仿宋" w:cs="宋体"/>
          <w:color w:val="000000"/>
          <w:kern w:val="0"/>
          <w:sz w:val="22"/>
          <w:highlight w:val="none"/>
        </w:rPr>
        <w:t>；</w:t>
      </w:r>
    </w:p>
    <w:p>
      <w:pPr>
        <w:widowControl/>
        <w:spacing w:line="360" w:lineRule="auto"/>
        <w:jc w:val="left"/>
        <w:rPr>
          <w:rFonts w:ascii="宋体" w:hAnsi="宋体" w:eastAsia="宋体" w:cs="Times New Roman"/>
          <w:szCs w:val="22"/>
          <w:highlight w:val="none"/>
        </w:rPr>
      </w:pPr>
      <w:r>
        <w:rPr>
          <w:rFonts w:hint="eastAsia" w:ascii="宋体" w:hAnsi="宋体" w:eastAsia="宋体" w:cs="Times New Roman"/>
          <w:szCs w:val="22"/>
          <w:highlight w:val="none"/>
        </w:rPr>
        <w:t>（</w:t>
      </w:r>
      <w:r>
        <w:rPr>
          <w:rFonts w:ascii="宋体" w:hAnsi="宋体" w:eastAsia="宋体" w:cs="Times New Roman"/>
          <w:szCs w:val="22"/>
          <w:highlight w:val="none"/>
        </w:rPr>
        <w:t>2）采用蓝牙技术传输：采用蓝牙技术传输3D同步信号，3D同步信号传输稳定，不受环境光影响，有效覆盖距离≥10米；</w:t>
      </w:r>
    </w:p>
    <w:p>
      <w:pPr>
        <w:widowControl/>
        <w:spacing w:line="360" w:lineRule="auto"/>
        <w:jc w:val="left"/>
        <w:rPr>
          <w:rFonts w:ascii="宋体" w:hAnsi="宋体" w:eastAsia="宋体" w:cs="Times New Roman"/>
          <w:szCs w:val="22"/>
          <w:highlight w:val="none"/>
        </w:rPr>
      </w:pPr>
      <w:r>
        <w:rPr>
          <w:rFonts w:hint="eastAsia" w:ascii="宋体" w:hAnsi="宋体" w:eastAsia="宋体" w:cs="Times New Roman"/>
          <w:szCs w:val="22"/>
          <w:highlight w:val="none"/>
        </w:rPr>
        <w:t>（</w:t>
      </w:r>
      <w:r>
        <w:rPr>
          <w:rFonts w:ascii="宋体" w:hAnsi="宋体" w:eastAsia="宋体" w:cs="Times New Roman"/>
          <w:szCs w:val="22"/>
          <w:highlight w:val="none"/>
        </w:rPr>
        <w:t>3）同步连接：支持在蓝牙信号有效覆盖范围内≥200副以上的蓝牙眼镜同时链接观看3D图像；</w:t>
      </w:r>
    </w:p>
    <w:p>
      <w:pPr>
        <w:widowControl/>
        <w:spacing w:line="400" w:lineRule="exact"/>
        <w:rPr>
          <w:rFonts w:ascii="宋体" w:hAnsi="宋体" w:eastAsia="宋体" w:cs="宋体"/>
          <w:b/>
          <w:kern w:val="0"/>
          <w:sz w:val="20"/>
          <w:szCs w:val="20"/>
          <w:highlight w:val="none"/>
          <w:lang w:eastAsia="zh-Hans"/>
        </w:rPr>
      </w:pPr>
      <w:r>
        <w:rPr>
          <w:rFonts w:ascii="宋体" w:hAnsi="宋体" w:eastAsia="宋体" w:cs="宋体"/>
          <w:b/>
          <w:kern w:val="0"/>
          <w:sz w:val="20"/>
          <w:szCs w:val="20"/>
          <w:highlight w:val="none"/>
          <w:lang w:eastAsia="zh-Hans"/>
        </w:rPr>
        <w:t>[指标项</w:t>
      </w:r>
      <w:r>
        <w:rPr>
          <w:rFonts w:hint="eastAsia" w:ascii="宋体" w:hAnsi="宋体" w:eastAsia="宋体" w:cs="宋体"/>
          <w:b/>
          <w:kern w:val="0"/>
          <w:sz w:val="20"/>
          <w:szCs w:val="20"/>
          <w:highlight w:val="none"/>
        </w:rPr>
        <w:t>17</w:t>
      </w:r>
      <w:r>
        <w:rPr>
          <w:rFonts w:ascii="宋体" w:hAnsi="宋体" w:eastAsia="宋体" w:cs="宋体"/>
          <w:b/>
          <w:kern w:val="0"/>
          <w:sz w:val="20"/>
          <w:szCs w:val="20"/>
          <w:highlight w:val="none"/>
          <w:lang w:eastAsia="zh-Hans"/>
        </w:rPr>
        <w:t>]</w:t>
      </w:r>
    </w:p>
    <w:p>
      <w:pPr>
        <w:widowControl/>
        <w:spacing w:line="360" w:lineRule="auto"/>
        <w:jc w:val="left"/>
        <w:rPr>
          <w:rFonts w:ascii="宋体" w:hAnsi="宋体" w:eastAsia="宋体" w:cs="Times New Roman"/>
          <w:szCs w:val="22"/>
          <w:highlight w:val="none"/>
        </w:rPr>
      </w:pPr>
      <w:r>
        <w:rPr>
          <w:rFonts w:hint="eastAsia" w:ascii="宋体" w:hAnsi="宋体" w:eastAsia="宋体" w:cs="Times New Roman"/>
          <w:szCs w:val="22"/>
          <w:highlight w:val="none"/>
        </w:rPr>
        <w:t>（</w:t>
      </w:r>
      <w:r>
        <w:rPr>
          <w:rFonts w:ascii="宋体" w:hAnsi="宋体" w:eastAsia="宋体" w:cs="Times New Roman"/>
          <w:szCs w:val="22"/>
          <w:highlight w:val="none"/>
        </w:rPr>
        <w:t>4）多功能按键：具有一个开关按键，可以执行蓝牙眼镜开启、关闭、蓝牙配对的功能；</w:t>
      </w:r>
    </w:p>
    <w:p>
      <w:pPr>
        <w:widowControl/>
        <w:spacing w:line="360" w:lineRule="auto"/>
        <w:jc w:val="left"/>
        <w:rPr>
          <w:rFonts w:ascii="宋体" w:hAnsi="宋体" w:eastAsia="宋体" w:cs="Times New Roman"/>
          <w:szCs w:val="22"/>
          <w:highlight w:val="none"/>
        </w:rPr>
      </w:pPr>
      <w:r>
        <w:rPr>
          <w:rFonts w:hint="eastAsia" w:ascii="宋体" w:hAnsi="宋体" w:eastAsia="宋体" w:cs="Times New Roman"/>
          <w:szCs w:val="22"/>
          <w:highlight w:val="none"/>
        </w:rPr>
        <w:t>（</w:t>
      </w:r>
      <w:r>
        <w:rPr>
          <w:rFonts w:ascii="宋体" w:hAnsi="宋体" w:eastAsia="宋体" w:cs="Times New Roman"/>
          <w:szCs w:val="22"/>
          <w:highlight w:val="none"/>
        </w:rPr>
        <w:t>5）配备电池：蓝牙眼镜配置有可更换的RS2032纽扣电池，电池有效工作时间≥100</w:t>
      </w:r>
      <w:r>
        <w:rPr>
          <w:rFonts w:hint="eastAsia" w:ascii="宋体" w:hAnsi="宋体" w:eastAsia="宋体" w:cs="Times New Roman"/>
          <w:szCs w:val="22"/>
          <w:highlight w:val="none"/>
        </w:rPr>
        <w:t>小时</w:t>
      </w:r>
      <w:r>
        <w:rPr>
          <w:rFonts w:ascii="宋体" w:hAnsi="宋体" w:eastAsia="宋体" w:cs="Times New Roman"/>
          <w:szCs w:val="22"/>
          <w:highlight w:val="none"/>
        </w:rPr>
        <w:t>；</w:t>
      </w:r>
    </w:p>
    <w:p>
      <w:pPr>
        <w:widowControl/>
        <w:spacing w:line="360" w:lineRule="auto"/>
        <w:jc w:val="left"/>
        <w:rPr>
          <w:rFonts w:ascii="宋体" w:hAnsi="宋体" w:eastAsia="宋体" w:cs="Times New Roman"/>
          <w:szCs w:val="22"/>
          <w:highlight w:val="none"/>
        </w:rPr>
      </w:pPr>
      <w:r>
        <w:rPr>
          <w:rFonts w:hint="eastAsia" w:ascii="宋体" w:hAnsi="宋体" w:eastAsia="宋体" w:cs="Times New Roman"/>
          <w:szCs w:val="22"/>
          <w:highlight w:val="none"/>
        </w:rPr>
        <w:t>（</w:t>
      </w:r>
      <w:r>
        <w:rPr>
          <w:rFonts w:ascii="宋体" w:hAnsi="宋体" w:eastAsia="宋体" w:cs="Times New Roman"/>
          <w:szCs w:val="22"/>
          <w:highlight w:val="none"/>
        </w:rPr>
        <w:t>6）自动关闭：蓝牙眼镜具有在没有蓝牙信号的情况下，自动关闭蓝牙系统的功能，以节约系统功耗；</w:t>
      </w:r>
    </w:p>
    <w:p>
      <w:pPr>
        <w:widowControl/>
        <w:spacing w:line="400" w:lineRule="exact"/>
        <w:rPr>
          <w:rFonts w:ascii="宋体" w:hAnsi="宋体" w:eastAsia="宋体" w:cs="宋体"/>
          <w:b/>
          <w:kern w:val="0"/>
          <w:sz w:val="20"/>
          <w:szCs w:val="20"/>
          <w:highlight w:val="none"/>
          <w:lang w:eastAsia="zh-Hans"/>
        </w:rPr>
      </w:pPr>
      <w:r>
        <w:rPr>
          <w:rFonts w:ascii="宋体" w:hAnsi="宋体" w:eastAsia="宋体" w:cs="宋体"/>
          <w:b/>
          <w:kern w:val="0"/>
          <w:sz w:val="20"/>
          <w:szCs w:val="20"/>
          <w:highlight w:val="none"/>
          <w:lang w:eastAsia="zh-Hans"/>
        </w:rPr>
        <w:t>[指标项</w:t>
      </w:r>
      <w:r>
        <w:rPr>
          <w:rFonts w:hint="eastAsia" w:ascii="宋体" w:hAnsi="宋体" w:eastAsia="宋体" w:cs="宋体"/>
          <w:b/>
          <w:kern w:val="0"/>
          <w:sz w:val="20"/>
          <w:szCs w:val="20"/>
          <w:highlight w:val="none"/>
        </w:rPr>
        <w:t>18</w:t>
      </w:r>
      <w:r>
        <w:rPr>
          <w:rFonts w:ascii="宋体" w:hAnsi="宋体" w:eastAsia="宋体" w:cs="宋体"/>
          <w:b/>
          <w:kern w:val="0"/>
          <w:sz w:val="20"/>
          <w:szCs w:val="20"/>
          <w:highlight w:val="none"/>
          <w:lang w:eastAsia="zh-Hans"/>
        </w:rPr>
        <w:t>]</w:t>
      </w:r>
    </w:p>
    <w:p>
      <w:pPr>
        <w:widowControl/>
        <w:spacing w:line="360" w:lineRule="auto"/>
        <w:jc w:val="left"/>
        <w:rPr>
          <w:rFonts w:ascii="宋体" w:hAnsi="宋体" w:eastAsia="宋体" w:cs="Times New Roman"/>
          <w:szCs w:val="22"/>
          <w:highlight w:val="none"/>
        </w:rPr>
      </w:pPr>
      <w:bookmarkStart w:id="17" w:name="_Hlk167959338"/>
      <w:r>
        <w:rPr>
          <w:rFonts w:hint="eastAsia" w:ascii="宋体" w:hAnsi="宋体" w:eastAsia="宋体" w:cs="Times New Roman"/>
          <w:szCs w:val="22"/>
          <w:highlight w:val="none"/>
          <w:lang w:val="en-US" w:eastAsia="zh-CN"/>
        </w:rPr>
        <w:t>1.</w:t>
      </w:r>
      <w:r>
        <w:rPr>
          <w:rFonts w:ascii="宋体" w:hAnsi="宋体" w:eastAsia="宋体" w:cs="Times New Roman"/>
          <w:szCs w:val="22"/>
          <w:highlight w:val="none"/>
        </w:rPr>
        <w:t>7</w:t>
      </w:r>
      <w:r>
        <w:rPr>
          <w:rFonts w:hint="eastAsia" w:ascii="宋体" w:hAnsi="宋体" w:eastAsia="宋体" w:cs="Times New Roman"/>
          <w:szCs w:val="22"/>
          <w:highlight w:val="none"/>
          <w:lang w:val="en-US" w:eastAsia="zh-CN"/>
        </w:rPr>
        <w:t xml:space="preserve"> </w:t>
      </w:r>
      <w:r>
        <w:rPr>
          <w:rFonts w:ascii="宋体" w:hAnsi="宋体" w:eastAsia="宋体" w:cs="Times New Roman"/>
          <w:szCs w:val="22"/>
          <w:highlight w:val="none"/>
        </w:rPr>
        <w:t>配套空间交互笔设备参数要求</w:t>
      </w:r>
    </w:p>
    <w:p>
      <w:pPr>
        <w:widowControl/>
        <w:spacing w:line="360" w:lineRule="auto"/>
        <w:jc w:val="left"/>
        <w:rPr>
          <w:rFonts w:ascii="宋体" w:hAnsi="宋体" w:eastAsia="宋体" w:cs="Times New Roman"/>
          <w:szCs w:val="22"/>
          <w:highlight w:val="none"/>
        </w:rPr>
      </w:pPr>
      <w:r>
        <w:rPr>
          <w:rFonts w:hint="eastAsia" w:ascii="宋体" w:hAnsi="宋体" w:eastAsia="宋体" w:cs="Times New Roman"/>
          <w:szCs w:val="22"/>
          <w:highlight w:val="none"/>
        </w:rPr>
        <w:t>（</w:t>
      </w:r>
      <w:r>
        <w:rPr>
          <w:rFonts w:ascii="宋体" w:hAnsi="宋体" w:eastAsia="宋体" w:cs="Times New Roman"/>
          <w:szCs w:val="22"/>
          <w:highlight w:val="none"/>
        </w:rPr>
        <w:t>1）握笔式设计：空间交互笔外形采用握笔式设计，具有3个可由用户自定义的操作按键，符合人体工学设计；</w:t>
      </w:r>
    </w:p>
    <w:bookmarkEnd w:id="17"/>
    <w:p>
      <w:pPr>
        <w:widowControl/>
        <w:spacing w:line="400" w:lineRule="exact"/>
        <w:rPr>
          <w:rFonts w:ascii="仿宋" w:hAnsi="仿宋" w:cs="宋体"/>
          <w:color w:val="000000"/>
          <w:kern w:val="0"/>
          <w:sz w:val="22"/>
          <w:highlight w:val="none"/>
        </w:rPr>
      </w:pPr>
      <w:r>
        <w:rPr>
          <w:rFonts w:ascii="宋体" w:hAnsi="宋体" w:eastAsia="宋体" w:cs="宋体"/>
          <w:b/>
          <w:kern w:val="0"/>
          <w:sz w:val="20"/>
          <w:szCs w:val="20"/>
          <w:highlight w:val="none"/>
          <w:lang w:eastAsia="zh-Hans"/>
        </w:rPr>
        <w:t>[指标项</w:t>
      </w:r>
      <w:r>
        <w:rPr>
          <w:rFonts w:hint="eastAsia" w:ascii="宋体" w:hAnsi="宋体" w:eastAsia="宋体" w:cs="宋体"/>
          <w:b/>
          <w:kern w:val="0"/>
          <w:sz w:val="20"/>
          <w:szCs w:val="20"/>
          <w:highlight w:val="none"/>
        </w:rPr>
        <w:t>19</w:t>
      </w:r>
      <w:r>
        <w:rPr>
          <w:rFonts w:ascii="宋体" w:hAnsi="宋体" w:eastAsia="宋体" w:cs="宋体"/>
          <w:b/>
          <w:kern w:val="0"/>
          <w:sz w:val="20"/>
          <w:szCs w:val="20"/>
          <w:highlight w:val="none"/>
          <w:lang w:eastAsia="zh-Hans"/>
        </w:rPr>
        <w:t>]</w:t>
      </w:r>
    </w:p>
    <w:p>
      <w:pPr>
        <w:widowControl/>
        <w:jc w:val="left"/>
        <w:rPr>
          <w:rFonts w:ascii="宋体" w:hAnsi="宋体" w:eastAsia="宋体" w:cs="Times New Roman"/>
          <w:szCs w:val="22"/>
          <w:highlight w:val="none"/>
        </w:rPr>
      </w:pPr>
      <w:r>
        <w:rPr>
          <w:rFonts w:hint="eastAsia" w:ascii="宋体" w:hAnsi="宋体" w:eastAsia="宋体" w:cs="Times New Roman"/>
          <w:szCs w:val="22"/>
          <w:highlight w:val="none"/>
        </w:rPr>
        <w:t>（</w:t>
      </w:r>
      <w:r>
        <w:rPr>
          <w:rFonts w:ascii="宋体" w:hAnsi="宋体" w:eastAsia="宋体" w:cs="Times New Roman"/>
          <w:szCs w:val="22"/>
          <w:highlight w:val="none"/>
        </w:rPr>
        <w:t>2）内置高精度传感器：空间交互笔内置高精度传感器，能够实时智能感知操控目标的当前的姿态数据，数据刷新率≥100hz；</w:t>
      </w:r>
    </w:p>
    <w:p>
      <w:pPr>
        <w:widowControl/>
        <w:spacing w:line="400" w:lineRule="exact"/>
        <w:rPr>
          <w:rFonts w:ascii="宋体" w:hAnsi="宋体" w:eastAsia="宋体" w:cs="宋体"/>
          <w:b/>
          <w:kern w:val="0"/>
          <w:sz w:val="20"/>
          <w:szCs w:val="20"/>
          <w:highlight w:val="none"/>
          <w:lang w:eastAsia="zh-Hans"/>
        </w:rPr>
      </w:pPr>
      <w:r>
        <w:rPr>
          <w:rFonts w:ascii="宋体" w:hAnsi="宋体" w:eastAsia="宋体" w:cs="宋体"/>
          <w:b/>
          <w:kern w:val="0"/>
          <w:sz w:val="20"/>
          <w:szCs w:val="20"/>
          <w:highlight w:val="none"/>
          <w:lang w:eastAsia="zh-Hans"/>
        </w:rPr>
        <w:t>[指标项</w:t>
      </w:r>
      <w:r>
        <w:rPr>
          <w:rFonts w:hint="eastAsia" w:ascii="宋体" w:hAnsi="宋体" w:eastAsia="宋体" w:cs="宋体"/>
          <w:b/>
          <w:kern w:val="0"/>
          <w:sz w:val="20"/>
          <w:szCs w:val="20"/>
          <w:highlight w:val="none"/>
        </w:rPr>
        <w:t>20</w:t>
      </w:r>
      <w:r>
        <w:rPr>
          <w:rFonts w:ascii="宋体" w:hAnsi="宋体" w:eastAsia="宋体" w:cs="宋体"/>
          <w:b/>
          <w:kern w:val="0"/>
          <w:sz w:val="20"/>
          <w:szCs w:val="20"/>
          <w:highlight w:val="none"/>
          <w:lang w:eastAsia="zh-Hans"/>
        </w:rPr>
        <w:t>]</w:t>
      </w:r>
    </w:p>
    <w:p>
      <w:pPr>
        <w:widowControl/>
        <w:spacing w:line="360" w:lineRule="auto"/>
        <w:jc w:val="left"/>
        <w:rPr>
          <w:rFonts w:ascii="宋体" w:hAnsi="宋体" w:eastAsia="宋体" w:cs="Times New Roman"/>
          <w:szCs w:val="22"/>
          <w:highlight w:val="none"/>
        </w:rPr>
      </w:pPr>
      <w:r>
        <w:rPr>
          <w:rFonts w:hint="eastAsia" w:ascii="宋体" w:hAnsi="宋体" w:eastAsia="宋体" w:cs="Times New Roman"/>
          <w:szCs w:val="22"/>
          <w:highlight w:val="none"/>
        </w:rPr>
        <w:t>（</w:t>
      </w:r>
      <w:r>
        <w:rPr>
          <w:rFonts w:ascii="宋体" w:hAnsi="宋体" w:eastAsia="宋体" w:cs="Times New Roman"/>
          <w:szCs w:val="22"/>
          <w:highlight w:val="none"/>
        </w:rPr>
        <w:t>3）精准追踪定位：空间交互笔具有2个主动式红外追踪Mark点，任意一点进入追踪视野，均可实现对交互笔的精准追踪定位；</w:t>
      </w:r>
    </w:p>
    <w:p>
      <w:pPr>
        <w:widowControl/>
        <w:spacing w:line="400" w:lineRule="exact"/>
        <w:rPr>
          <w:rFonts w:ascii="仿宋" w:hAnsi="仿宋" w:cs="宋体"/>
          <w:color w:val="000000"/>
          <w:kern w:val="0"/>
          <w:sz w:val="22"/>
          <w:highlight w:val="none"/>
        </w:rPr>
      </w:pPr>
      <w:r>
        <w:rPr>
          <w:rFonts w:ascii="宋体" w:hAnsi="宋体" w:eastAsia="宋体" w:cs="宋体"/>
          <w:b/>
          <w:kern w:val="0"/>
          <w:sz w:val="20"/>
          <w:szCs w:val="20"/>
          <w:highlight w:val="none"/>
          <w:lang w:eastAsia="zh-Hans"/>
        </w:rPr>
        <w:t>[指标项</w:t>
      </w:r>
      <w:r>
        <w:rPr>
          <w:rFonts w:hint="eastAsia" w:ascii="宋体" w:hAnsi="宋体" w:eastAsia="宋体" w:cs="宋体"/>
          <w:b/>
          <w:kern w:val="0"/>
          <w:sz w:val="20"/>
          <w:szCs w:val="20"/>
          <w:highlight w:val="none"/>
        </w:rPr>
        <w:t>21</w:t>
      </w:r>
      <w:r>
        <w:rPr>
          <w:rFonts w:ascii="宋体" w:hAnsi="宋体" w:eastAsia="宋体" w:cs="宋体"/>
          <w:b/>
          <w:kern w:val="0"/>
          <w:sz w:val="20"/>
          <w:szCs w:val="20"/>
          <w:highlight w:val="none"/>
          <w:lang w:eastAsia="zh-Hans"/>
        </w:rPr>
        <w:t>]</w:t>
      </w:r>
    </w:p>
    <w:p>
      <w:pPr>
        <w:widowControl/>
        <w:spacing w:line="400" w:lineRule="exact"/>
        <w:rPr>
          <w:rFonts w:ascii="仿宋" w:hAnsi="仿宋" w:cs="宋体"/>
          <w:color w:val="000000"/>
          <w:kern w:val="0"/>
          <w:sz w:val="22"/>
          <w:highlight w:val="none"/>
        </w:rPr>
      </w:pPr>
      <w:r>
        <w:rPr>
          <w:rFonts w:hint="eastAsia" w:ascii="仿宋" w:hAnsi="仿宋" w:cs="宋体"/>
          <w:color w:val="000000"/>
          <w:kern w:val="0"/>
          <w:sz w:val="22"/>
          <w:highlight w:val="none"/>
        </w:rPr>
        <w:t>（4）光学追踪定位系统：空间交互笔配合光学追踪定位系统工作，可实现位置追踪精度≤1mm,角度精度≤0.1度；</w:t>
      </w:r>
    </w:p>
    <w:p>
      <w:pPr>
        <w:widowControl/>
        <w:spacing w:line="400" w:lineRule="exact"/>
        <w:rPr>
          <w:rFonts w:ascii="仿宋" w:hAnsi="仿宋" w:cs="宋体"/>
          <w:color w:val="000000"/>
          <w:kern w:val="0"/>
          <w:sz w:val="22"/>
          <w:highlight w:val="none"/>
        </w:rPr>
      </w:pPr>
      <w:r>
        <w:rPr>
          <w:rFonts w:ascii="宋体" w:hAnsi="宋体" w:eastAsia="宋体" w:cs="宋体"/>
          <w:b/>
          <w:kern w:val="0"/>
          <w:sz w:val="20"/>
          <w:szCs w:val="20"/>
          <w:highlight w:val="none"/>
          <w:lang w:eastAsia="zh-Hans"/>
        </w:rPr>
        <w:t>[指标项</w:t>
      </w:r>
      <w:r>
        <w:rPr>
          <w:rFonts w:hint="eastAsia" w:ascii="宋体" w:hAnsi="宋体" w:eastAsia="宋体" w:cs="宋体"/>
          <w:b/>
          <w:kern w:val="0"/>
          <w:sz w:val="20"/>
          <w:szCs w:val="20"/>
          <w:highlight w:val="none"/>
        </w:rPr>
        <w:t>22</w:t>
      </w:r>
      <w:r>
        <w:rPr>
          <w:rFonts w:ascii="宋体" w:hAnsi="宋体" w:eastAsia="宋体" w:cs="宋体"/>
          <w:b/>
          <w:kern w:val="0"/>
          <w:sz w:val="20"/>
          <w:szCs w:val="20"/>
          <w:highlight w:val="none"/>
          <w:lang w:eastAsia="zh-Hans"/>
        </w:rPr>
        <w:t>]</w:t>
      </w:r>
    </w:p>
    <w:p>
      <w:pPr>
        <w:widowControl/>
        <w:spacing w:line="400" w:lineRule="exact"/>
        <w:rPr>
          <w:rFonts w:ascii="仿宋" w:hAnsi="仿宋" w:cs="宋体"/>
          <w:color w:val="000000"/>
          <w:kern w:val="0"/>
          <w:sz w:val="22"/>
          <w:highlight w:val="none"/>
        </w:rPr>
      </w:pPr>
      <w:r>
        <w:rPr>
          <w:rFonts w:hint="eastAsia" w:ascii="仿宋" w:hAnsi="仿宋" w:cs="宋体"/>
          <w:color w:val="000000"/>
          <w:kern w:val="0"/>
          <w:sz w:val="22"/>
          <w:highlight w:val="none"/>
        </w:rPr>
        <w:t>（5）USB有线连接：空间交互笔采用USB有线连接，数据传输稳定，防丢失，免充电；</w:t>
      </w:r>
    </w:p>
    <w:p>
      <w:pPr>
        <w:widowControl/>
        <w:spacing w:line="400" w:lineRule="exact"/>
        <w:rPr>
          <w:rFonts w:ascii="仿宋" w:hAnsi="仿宋" w:cs="宋体"/>
          <w:color w:val="000000"/>
          <w:kern w:val="0"/>
          <w:sz w:val="22"/>
          <w:highlight w:val="none"/>
        </w:rPr>
      </w:pPr>
      <w:r>
        <w:rPr>
          <w:rFonts w:ascii="宋体" w:hAnsi="宋体" w:eastAsia="宋体" w:cs="宋体"/>
          <w:b/>
          <w:kern w:val="0"/>
          <w:sz w:val="20"/>
          <w:szCs w:val="20"/>
          <w:highlight w:val="none"/>
          <w:lang w:eastAsia="zh-Hans"/>
        </w:rPr>
        <w:t>[指标项</w:t>
      </w:r>
      <w:r>
        <w:rPr>
          <w:rFonts w:hint="eastAsia" w:ascii="宋体" w:hAnsi="宋体" w:eastAsia="宋体" w:cs="宋体"/>
          <w:b/>
          <w:kern w:val="0"/>
          <w:sz w:val="20"/>
          <w:szCs w:val="20"/>
          <w:highlight w:val="none"/>
        </w:rPr>
        <w:t>23</w:t>
      </w:r>
      <w:r>
        <w:rPr>
          <w:rFonts w:ascii="宋体" w:hAnsi="宋体" w:eastAsia="宋体" w:cs="宋体"/>
          <w:b/>
          <w:kern w:val="0"/>
          <w:sz w:val="20"/>
          <w:szCs w:val="20"/>
          <w:highlight w:val="none"/>
          <w:lang w:eastAsia="zh-Hans"/>
        </w:rPr>
        <w:t>]</w:t>
      </w:r>
    </w:p>
    <w:p>
      <w:pPr>
        <w:widowControl/>
        <w:spacing w:line="360" w:lineRule="auto"/>
        <w:jc w:val="left"/>
        <w:rPr>
          <w:rFonts w:ascii="宋体" w:hAnsi="宋体" w:eastAsia="宋体" w:cs="Times New Roman"/>
          <w:szCs w:val="22"/>
          <w:highlight w:val="none"/>
        </w:rPr>
      </w:pPr>
      <w:r>
        <w:rPr>
          <w:rFonts w:hint="eastAsia" w:ascii="宋体" w:hAnsi="宋体" w:eastAsia="宋体" w:cs="Times New Roman"/>
          <w:szCs w:val="22"/>
          <w:highlight w:val="none"/>
        </w:rPr>
        <w:t>（</w:t>
      </w:r>
      <w:r>
        <w:rPr>
          <w:rFonts w:ascii="宋体" w:hAnsi="宋体" w:eastAsia="宋体" w:cs="Times New Roman"/>
          <w:szCs w:val="22"/>
          <w:highlight w:val="none"/>
        </w:rPr>
        <w:t>6）内置振动器：空间交互笔内置振动器，可以通过震动方式来反馈用户操作；</w:t>
      </w:r>
    </w:p>
    <w:p>
      <w:pPr>
        <w:widowControl/>
        <w:spacing w:line="400" w:lineRule="exact"/>
        <w:rPr>
          <w:rFonts w:ascii="仿宋" w:hAnsi="仿宋" w:cs="宋体"/>
          <w:color w:val="000000"/>
          <w:kern w:val="0"/>
          <w:sz w:val="22"/>
          <w:highlight w:val="none"/>
        </w:rPr>
      </w:pPr>
      <w:r>
        <w:rPr>
          <w:rFonts w:ascii="宋体" w:hAnsi="宋体" w:eastAsia="宋体" w:cs="宋体"/>
          <w:b/>
          <w:kern w:val="0"/>
          <w:sz w:val="20"/>
          <w:szCs w:val="20"/>
          <w:highlight w:val="none"/>
          <w:lang w:eastAsia="zh-Hans"/>
        </w:rPr>
        <w:t>[指标项</w:t>
      </w:r>
      <w:r>
        <w:rPr>
          <w:rFonts w:hint="eastAsia" w:ascii="宋体" w:hAnsi="宋体" w:eastAsia="宋体" w:cs="宋体"/>
          <w:b/>
          <w:kern w:val="0"/>
          <w:sz w:val="20"/>
          <w:szCs w:val="20"/>
          <w:highlight w:val="none"/>
        </w:rPr>
        <w:t>24</w:t>
      </w:r>
      <w:r>
        <w:rPr>
          <w:rFonts w:ascii="宋体" w:hAnsi="宋体" w:eastAsia="宋体" w:cs="宋体"/>
          <w:b/>
          <w:kern w:val="0"/>
          <w:sz w:val="20"/>
          <w:szCs w:val="20"/>
          <w:highlight w:val="none"/>
          <w:lang w:eastAsia="zh-Hans"/>
        </w:rPr>
        <w:t>]</w:t>
      </w:r>
    </w:p>
    <w:p>
      <w:pPr>
        <w:widowControl/>
        <w:spacing w:line="400" w:lineRule="exact"/>
        <w:rPr>
          <w:rFonts w:ascii="仿宋" w:hAnsi="仿宋" w:cs="宋体"/>
          <w:color w:val="000000"/>
          <w:kern w:val="0"/>
          <w:sz w:val="22"/>
          <w:highlight w:val="none"/>
        </w:rPr>
      </w:pPr>
      <w:r>
        <w:rPr>
          <w:rFonts w:hint="eastAsia" w:ascii="仿宋" w:hAnsi="仿宋" w:cs="宋体"/>
          <w:color w:val="000000"/>
          <w:kern w:val="0"/>
          <w:sz w:val="22"/>
          <w:highlight w:val="none"/>
        </w:rPr>
        <w:t>1.8配套VR功能验证模型类软件：</w:t>
      </w:r>
    </w:p>
    <w:p>
      <w:pPr>
        <w:widowControl/>
        <w:spacing w:line="400" w:lineRule="exact"/>
        <w:rPr>
          <w:rFonts w:ascii="仿宋" w:hAnsi="仿宋" w:cs="宋体"/>
          <w:color w:val="000000"/>
          <w:kern w:val="0"/>
          <w:sz w:val="22"/>
          <w:highlight w:val="none"/>
        </w:rPr>
      </w:pPr>
      <w:r>
        <w:rPr>
          <w:rFonts w:hint="eastAsia" w:ascii="仿宋" w:hAnsi="仿宋" w:cs="宋体"/>
          <w:color w:val="000000"/>
          <w:kern w:val="0"/>
          <w:sz w:val="22"/>
          <w:highlight w:val="none"/>
        </w:rPr>
        <w:t>（1）活动场景：利用VR一体机的特点，用户可以感受丰富多彩的物体近在眼前的效果 ，还可以抓起活动的物体，并360观察它的形态和动作。</w:t>
      </w:r>
    </w:p>
    <w:p>
      <w:pPr>
        <w:widowControl/>
        <w:spacing w:line="400" w:lineRule="exact"/>
        <w:rPr>
          <w:rFonts w:ascii="仿宋" w:hAnsi="仿宋" w:cs="宋体"/>
          <w:color w:val="000000"/>
          <w:kern w:val="0"/>
          <w:sz w:val="22"/>
          <w:highlight w:val="none"/>
        </w:rPr>
      </w:pPr>
      <w:r>
        <w:rPr>
          <w:rFonts w:hint="eastAsia" w:ascii="仿宋" w:hAnsi="仿宋" w:cs="宋体"/>
          <w:color w:val="000000"/>
          <w:kern w:val="0"/>
          <w:sz w:val="22"/>
          <w:highlight w:val="none"/>
        </w:rPr>
        <w:t>（2）结构探索：利用VR一体机的特点，探索模块包含某一个剖面的整体及分层展示两部分，整体模型上均标注序号，点击序号可旋转视角到指定结构，并显示对应的结构名称和注释。剖面结构可分层展开，所有分开展示的剖面模型均可自由拖动旋转缩放，并且选中任一模型，均显示对应结构名称及结构注释。</w:t>
      </w:r>
    </w:p>
    <w:p>
      <w:pPr>
        <w:widowControl/>
        <w:spacing w:line="400" w:lineRule="exact"/>
        <w:rPr>
          <w:rFonts w:ascii="仿宋" w:hAnsi="仿宋" w:cs="宋体"/>
          <w:color w:val="000000"/>
          <w:kern w:val="0"/>
          <w:sz w:val="22"/>
          <w:highlight w:val="none"/>
        </w:rPr>
      </w:pPr>
      <w:r>
        <w:rPr>
          <w:rFonts w:hint="eastAsia" w:ascii="仿宋" w:hAnsi="仿宋" w:cs="宋体"/>
          <w:color w:val="000000"/>
          <w:kern w:val="0"/>
          <w:sz w:val="22"/>
          <w:highlight w:val="none"/>
        </w:rPr>
        <w:t>（3）结构模型：解密模块，展示了三种假想结构模型，并剖面展示了其内部结构。</w:t>
      </w:r>
    </w:p>
    <w:p>
      <w:pPr>
        <w:widowControl/>
        <w:spacing w:line="400" w:lineRule="exact"/>
        <w:rPr>
          <w:rFonts w:ascii="仿宋" w:hAnsi="仿宋" w:cs="宋体"/>
          <w:color w:val="000000"/>
          <w:kern w:val="0"/>
          <w:sz w:val="22"/>
          <w:highlight w:val="none"/>
        </w:rPr>
      </w:pPr>
      <w:r>
        <w:rPr>
          <w:rFonts w:hint="eastAsia" w:ascii="仿宋" w:hAnsi="仿宋" w:cs="宋体"/>
          <w:color w:val="000000"/>
          <w:kern w:val="0"/>
          <w:sz w:val="22"/>
          <w:highlight w:val="none"/>
        </w:rPr>
        <w:t>（4）传导模型：独特树突模块，展示了内部及外部结构，并使用动画及特效展示传导过程，从树突传导到胞体，再传导到轴突的过程。</w:t>
      </w:r>
    </w:p>
    <w:p>
      <w:pPr>
        <w:widowControl/>
        <w:spacing w:line="400" w:lineRule="exact"/>
        <w:rPr>
          <w:rFonts w:ascii="仿宋" w:hAnsi="仿宋" w:cs="宋体"/>
          <w:color w:val="000000"/>
          <w:kern w:val="0"/>
          <w:sz w:val="22"/>
          <w:highlight w:val="none"/>
        </w:rPr>
      </w:pPr>
      <w:r>
        <w:rPr>
          <w:rFonts w:hint="eastAsia" w:ascii="仿宋" w:hAnsi="仿宋" w:cs="宋体"/>
          <w:color w:val="000000"/>
          <w:kern w:val="0"/>
          <w:sz w:val="22"/>
          <w:highlight w:val="none"/>
        </w:rPr>
        <w:t>（</w:t>
      </w:r>
      <w:r>
        <w:rPr>
          <w:rFonts w:ascii="仿宋" w:hAnsi="仿宋" w:cs="宋体"/>
          <w:color w:val="000000"/>
          <w:kern w:val="0"/>
          <w:sz w:val="22"/>
          <w:highlight w:val="none"/>
        </w:rPr>
        <w:t>5</w:t>
      </w:r>
      <w:r>
        <w:rPr>
          <w:rFonts w:hint="eastAsia" w:ascii="仿宋" w:hAnsi="仿宋" w:cs="宋体"/>
          <w:color w:val="000000"/>
          <w:kern w:val="0"/>
          <w:sz w:val="22"/>
          <w:highlight w:val="none"/>
        </w:rPr>
        <w:t>）突触模型:突触模块，展示两个突触的典型结构。</w:t>
      </w:r>
    </w:p>
    <w:p>
      <w:pPr>
        <w:widowControl/>
        <w:spacing w:line="400" w:lineRule="exact"/>
        <w:rPr>
          <w:rFonts w:ascii="宋体" w:hAnsi="宋体" w:eastAsia="宋体" w:cs="宋体"/>
          <w:b/>
          <w:kern w:val="0"/>
          <w:sz w:val="20"/>
          <w:szCs w:val="20"/>
          <w:highlight w:val="none"/>
          <w:lang w:eastAsia="zh-Hans"/>
        </w:rPr>
      </w:pPr>
    </w:p>
    <w:p>
      <w:pPr>
        <w:widowControl/>
        <w:spacing w:line="400" w:lineRule="exact"/>
        <w:rPr>
          <w:rFonts w:ascii="仿宋" w:hAnsi="仿宋" w:cs="宋体"/>
          <w:color w:val="000000"/>
          <w:kern w:val="0"/>
          <w:sz w:val="22"/>
          <w:highlight w:val="none"/>
        </w:rPr>
      </w:pPr>
      <w:r>
        <w:rPr>
          <w:rFonts w:ascii="宋体" w:hAnsi="宋体" w:eastAsia="宋体" w:cs="宋体"/>
          <w:b/>
          <w:kern w:val="0"/>
          <w:sz w:val="20"/>
          <w:szCs w:val="20"/>
          <w:highlight w:val="none"/>
          <w:lang w:eastAsia="zh-Hans"/>
        </w:rPr>
        <w:t>[指标项</w:t>
      </w:r>
      <w:r>
        <w:rPr>
          <w:rFonts w:hint="eastAsia" w:ascii="宋体" w:hAnsi="宋体" w:eastAsia="宋体" w:cs="宋体"/>
          <w:b/>
          <w:kern w:val="0"/>
          <w:sz w:val="20"/>
          <w:szCs w:val="20"/>
          <w:highlight w:val="none"/>
        </w:rPr>
        <w:t>25</w:t>
      </w:r>
      <w:r>
        <w:rPr>
          <w:rFonts w:ascii="宋体" w:hAnsi="宋体" w:eastAsia="宋体" w:cs="宋体"/>
          <w:b/>
          <w:kern w:val="0"/>
          <w:sz w:val="20"/>
          <w:szCs w:val="20"/>
          <w:highlight w:val="none"/>
          <w:lang w:eastAsia="zh-Hans"/>
        </w:rPr>
        <w:t>]</w:t>
      </w:r>
    </w:p>
    <w:p>
      <w:pPr>
        <w:widowControl/>
        <w:spacing w:line="400" w:lineRule="exact"/>
        <w:rPr>
          <w:rFonts w:ascii="仿宋" w:hAnsi="仿宋" w:cs="宋体"/>
          <w:color w:val="000000"/>
          <w:kern w:val="0"/>
          <w:sz w:val="22"/>
          <w:highlight w:val="none"/>
        </w:rPr>
      </w:pPr>
      <w:r>
        <w:rPr>
          <w:rFonts w:hint="eastAsia" w:ascii="仿宋" w:hAnsi="仿宋" w:cs="宋体"/>
          <w:color w:val="000000"/>
          <w:kern w:val="0"/>
          <w:sz w:val="22"/>
          <w:highlight w:val="none"/>
        </w:rPr>
        <w:t>1.9配套VR功能验证操作类软件，以VR模型和交互操作为核心，演示验证交互操作，并通过交互操作加深用户的直观体验。</w:t>
      </w:r>
    </w:p>
    <w:p>
      <w:pPr>
        <w:widowControl/>
        <w:spacing w:line="400" w:lineRule="exact"/>
        <w:rPr>
          <w:rFonts w:ascii="仿宋" w:hAnsi="仿宋" w:cs="宋体"/>
          <w:color w:val="000000"/>
          <w:kern w:val="0"/>
          <w:sz w:val="22"/>
          <w:highlight w:val="none"/>
        </w:rPr>
      </w:pPr>
      <w:r>
        <w:rPr>
          <w:rFonts w:hint="eastAsia" w:ascii="仿宋" w:hAnsi="仿宋" w:cs="宋体"/>
          <w:color w:val="000000"/>
          <w:kern w:val="0"/>
          <w:sz w:val="22"/>
          <w:highlight w:val="none"/>
        </w:rPr>
        <w:t>（1）拆卸流程：以主流的总成进行建模，真实模拟标准拆卸流程；软件提供工具和具体操作的文字图形提示，相应模型操作部位高亮特效提示，真实还原拆卸体验。</w:t>
      </w:r>
    </w:p>
    <w:p>
      <w:pPr>
        <w:widowControl/>
        <w:spacing w:line="400" w:lineRule="exact"/>
        <w:rPr>
          <w:rFonts w:ascii="仿宋" w:hAnsi="仿宋" w:cs="宋体"/>
          <w:color w:val="000000"/>
          <w:kern w:val="0"/>
          <w:sz w:val="22"/>
          <w:highlight w:val="none"/>
        </w:rPr>
      </w:pPr>
      <w:r>
        <w:rPr>
          <w:rFonts w:hint="eastAsia" w:ascii="仿宋" w:hAnsi="仿宋" w:cs="宋体"/>
          <w:color w:val="000000"/>
          <w:kern w:val="0"/>
          <w:sz w:val="22"/>
          <w:highlight w:val="none"/>
        </w:rPr>
        <w:t>（2）安装流程：需包含臂结构安装、臂结构仿真功能；臂安装需要按正确顺序安装各个臂零部件，完成臂安装后能进行仿真，臂仿真可以控制臂四个轴向运动，通过四轴控制臂机构进行工件搬运仿真。</w:t>
      </w:r>
    </w:p>
    <w:p>
      <w:pPr>
        <w:widowControl/>
        <w:spacing w:line="400" w:lineRule="exact"/>
        <w:rPr>
          <w:rFonts w:ascii="仿宋" w:hAnsi="仿宋" w:cs="宋体"/>
          <w:color w:val="000000"/>
          <w:kern w:val="0"/>
          <w:sz w:val="22"/>
          <w:highlight w:val="none"/>
        </w:rPr>
      </w:pPr>
      <w:r>
        <w:rPr>
          <w:rFonts w:hint="eastAsia" w:ascii="仿宋" w:hAnsi="仿宋" w:cs="宋体"/>
          <w:color w:val="000000"/>
          <w:kern w:val="0"/>
          <w:sz w:val="22"/>
          <w:highlight w:val="none"/>
        </w:rPr>
        <w:t>（3）连接流程：仿真电路，真实的模拟在实物连接中的各种情况，比如选取1个元件、2个元件、3个或者4个元件连接时，给出各种连接情况下的结果。</w:t>
      </w:r>
    </w:p>
    <w:p>
      <w:pPr>
        <w:pStyle w:val="11"/>
        <w:keepNext w:val="0"/>
        <w:keepLines w:val="0"/>
        <w:widowControl/>
        <w:numPr>
          <w:ilvl w:val="0"/>
          <w:numId w:val="0"/>
        </w:numPr>
        <w:suppressLineNumbers w:val="0"/>
        <w:spacing w:before="75" w:beforeAutospacing="0" w:after="75" w:afterAutospacing="0"/>
        <w:ind w:right="0" w:rightChars="0"/>
        <w:outlineLvl w:val="1"/>
        <w:rPr>
          <w:rFonts w:hint="eastAsia" w:ascii="仿宋" w:hAnsi="仿宋" w:cs="宋体"/>
          <w:color w:val="000000"/>
          <w:kern w:val="0"/>
          <w:sz w:val="22"/>
          <w:highlight w:val="none"/>
        </w:rPr>
      </w:pPr>
      <w:r>
        <w:rPr>
          <w:rFonts w:hint="eastAsia" w:ascii="仿宋" w:hAnsi="仿宋" w:cs="宋体"/>
          <w:color w:val="000000"/>
          <w:sz w:val="22"/>
          <w:highlight w:val="none"/>
        </w:rPr>
        <w:t>（4）爆炸展示流程：：机械机构，展现运行和爆炸状态，爆炸后可以随意抓取某个零件进行放大缩小和旋转，并提示零件名称。还原按钮可以让爆炸开的减速机回到初始状态，让用户看到机器的内部结构和运行原理。</w:t>
      </w:r>
    </w:p>
    <w:p>
      <w:pPr>
        <w:pStyle w:val="11"/>
        <w:keepNext w:val="0"/>
        <w:keepLines w:val="0"/>
        <w:widowControl/>
        <w:numPr>
          <w:ilvl w:val="0"/>
          <w:numId w:val="0"/>
        </w:numPr>
        <w:suppressLineNumbers w:val="0"/>
        <w:spacing w:before="75" w:beforeAutospacing="0" w:after="75" w:afterAutospacing="0"/>
        <w:ind w:right="0" w:rightChars="0"/>
        <w:outlineLvl w:val="1"/>
        <w:rPr>
          <w:rFonts w:hint="eastAsia" w:ascii="仿宋" w:hAnsi="仿宋" w:cs="宋体"/>
          <w:color w:val="000000"/>
          <w:kern w:val="0"/>
          <w:sz w:val="22"/>
          <w:highlight w:val="none"/>
        </w:rPr>
      </w:pP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313" w:beforeLines="100" w:beforeAutospacing="0" w:after="313" w:afterLines="100" w:afterAutospacing="0" w:line="360" w:lineRule="auto"/>
        <w:ind w:left="0" w:leftChars="0" w:right="0" w:rightChars="0"/>
        <w:textAlignment w:val="auto"/>
        <w:outlineLvl w:val="1"/>
        <w:rPr>
          <w:rFonts w:hint="default" w:cstheme="minorBidi"/>
          <w:b/>
          <w:bCs/>
          <w:spacing w:val="0"/>
          <w:kern w:val="0"/>
          <w:sz w:val="24"/>
          <w:szCs w:val="24"/>
          <w:highlight w:val="none"/>
          <w:lang w:val="en-US" w:eastAsia="zh-CN" w:bidi="ar"/>
        </w:rPr>
      </w:pPr>
      <w:r>
        <w:rPr>
          <w:rFonts w:hint="eastAsia" w:cstheme="minorBidi"/>
          <w:b/>
          <w:bCs/>
          <w:spacing w:val="0"/>
          <w:kern w:val="0"/>
          <w:sz w:val="24"/>
          <w:szCs w:val="24"/>
          <w:highlight w:val="none"/>
          <w:lang w:val="en-US" w:eastAsia="zh-CN" w:bidi="ar"/>
        </w:rPr>
        <w:t>2 虚拟仿真安全课程资源库</w:t>
      </w:r>
    </w:p>
    <w:p>
      <w:pPr>
        <w:pStyle w:val="11"/>
        <w:adjustRightInd/>
        <w:snapToGrid/>
        <w:rPr>
          <w:rFonts w:hint="eastAsia" w:ascii="宋体" w:hAnsi="宋体" w:eastAsia="宋体" w:cs="宋体"/>
          <w:b/>
          <w:bCs/>
          <w:sz w:val="22"/>
          <w:szCs w:val="22"/>
          <w:highlight w:val="none"/>
        </w:rPr>
      </w:pPr>
      <w:r>
        <w:rPr>
          <w:rFonts w:hint="eastAsia" w:ascii="宋体" w:hAnsi="宋体" w:eastAsia="宋体" w:cs="宋体"/>
          <w:b/>
          <w:bCs/>
          <w:sz w:val="22"/>
          <w:szCs w:val="22"/>
          <w:highlight w:val="none"/>
          <w:lang w:val="en-US" w:eastAsia="zh-CN"/>
        </w:rPr>
        <w:t xml:space="preserve">2.1 </w:t>
      </w:r>
      <w:r>
        <w:rPr>
          <w:rFonts w:hint="eastAsia" w:ascii="宋体" w:hAnsi="宋体" w:eastAsia="宋体" w:cs="宋体"/>
          <w:b/>
          <w:bCs/>
          <w:sz w:val="22"/>
          <w:szCs w:val="22"/>
          <w:highlight w:val="none"/>
        </w:rPr>
        <w:t>校园通识安全教育模块</w:t>
      </w:r>
    </w:p>
    <w:p>
      <w:pPr>
        <w:pStyle w:val="11"/>
        <w:adjustRightInd/>
        <w:snapToGrid/>
        <w:rPr>
          <w:rFonts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软件包含基础知识教育:包括安全法规、安全标识识别、基本的安全操作规程以及急救技术等。通过虚拟仿真教学、案例分析视频动画等形式，使学生掌握基本的校园安全知识和技能。</w:t>
      </w:r>
    </w:p>
    <w:p>
      <w:pPr>
        <w:rPr>
          <w:rFonts w:hint="eastAsia" w:ascii="宋体" w:hAnsi="宋体" w:eastAsia="宋体" w:cs="宋体"/>
          <w:b/>
          <w:bCs/>
          <w:sz w:val="22"/>
          <w:szCs w:val="22"/>
          <w:highlight w:val="none"/>
          <w:lang w:eastAsia="zh-Hans" w:bidi="ar"/>
        </w:rPr>
      </w:pPr>
      <w:r>
        <w:rPr>
          <w:rFonts w:hint="eastAsia" w:ascii="宋体" w:hAnsi="宋体" w:eastAsia="宋体" w:cs="宋体"/>
          <w:b/>
          <w:bCs/>
          <w:sz w:val="22"/>
          <w:szCs w:val="22"/>
          <w:highlight w:val="none"/>
          <w:lang w:eastAsia="zh-Hans" w:bidi="ar"/>
        </w:rPr>
        <w:t>[指标项</w:t>
      </w:r>
      <w:r>
        <w:rPr>
          <w:rFonts w:hint="eastAsia" w:ascii="宋体" w:hAnsi="宋体" w:eastAsia="宋体" w:cs="宋体"/>
          <w:b/>
          <w:bCs/>
          <w:sz w:val="22"/>
          <w:szCs w:val="22"/>
          <w:highlight w:val="none"/>
          <w:lang w:val="en-US" w:eastAsia="zh-CN" w:bidi="ar"/>
        </w:rPr>
        <w:t>26</w:t>
      </w:r>
      <w:r>
        <w:rPr>
          <w:rFonts w:hint="eastAsia" w:ascii="宋体" w:hAnsi="宋体" w:eastAsia="宋体" w:cs="宋体"/>
          <w:b/>
          <w:bCs/>
          <w:sz w:val="22"/>
          <w:szCs w:val="22"/>
          <w:highlight w:val="none"/>
          <w:lang w:eastAsia="zh-Hans" w:bidi="ar"/>
        </w:rPr>
        <w:t>]</w:t>
      </w:r>
    </w:p>
    <w:p>
      <w:pPr>
        <w:rPr>
          <w:rFonts w:hint="eastAsia" w:ascii="宋体" w:hAnsi="宋体" w:eastAsia="宋体" w:cs="宋体"/>
          <w:b/>
          <w:bCs/>
          <w:sz w:val="22"/>
          <w:szCs w:val="22"/>
          <w:highlight w:val="none"/>
          <w:lang w:bidi="ar"/>
        </w:rPr>
      </w:pPr>
      <w:r>
        <w:rPr>
          <w:rFonts w:hint="eastAsia" w:ascii="宋体" w:hAnsi="宋体" w:eastAsia="宋体" w:cs="宋体"/>
          <w:b/>
          <w:bCs/>
          <w:sz w:val="22"/>
          <w:szCs w:val="22"/>
          <w:highlight w:val="none"/>
          <w:lang w:bidi="ar"/>
        </w:rPr>
        <w:t>▲</w:t>
      </w:r>
      <w:r>
        <w:rPr>
          <w:rFonts w:hint="eastAsia" w:ascii="宋体" w:hAnsi="宋体" w:eastAsia="宋体" w:cs="宋体"/>
          <w:b w:val="0"/>
          <w:bCs w:val="0"/>
          <w:sz w:val="22"/>
          <w:szCs w:val="22"/>
          <w:highlight w:val="none"/>
          <w:lang w:val="en-US" w:eastAsia="zh-CN" w:bidi="ar"/>
        </w:rPr>
        <w:t>2.1.1</w:t>
      </w:r>
      <w:r>
        <w:rPr>
          <w:rFonts w:hint="eastAsia" w:ascii="宋体" w:hAnsi="宋体" w:eastAsia="宋体" w:cs="宋体"/>
          <w:b w:val="0"/>
          <w:bCs w:val="0"/>
          <w:sz w:val="22"/>
          <w:szCs w:val="22"/>
          <w:highlight w:val="none"/>
          <w:lang w:bidi="ar"/>
        </w:rPr>
        <w:t>校园安全知识点小程序</w:t>
      </w:r>
    </w:p>
    <w:p>
      <w:pPr>
        <w:rPr>
          <w:rFonts w:hint="eastAsia" w:ascii="宋体" w:hAnsi="宋体" w:eastAsia="宋体" w:cs="宋体"/>
          <w:b w:val="0"/>
          <w:bCs w:val="0"/>
          <w:sz w:val="22"/>
          <w:szCs w:val="22"/>
          <w:highlight w:val="none"/>
          <w:lang w:bidi="ar"/>
        </w:rPr>
      </w:pPr>
      <w:r>
        <w:rPr>
          <w:rFonts w:hint="eastAsia" w:ascii="宋体" w:hAnsi="宋体" w:eastAsia="宋体" w:cs="宋体"/>
          <w:b w:val="0"/>
          <w:bCs w:val="0"/>
          <w:sz w:val="22"/>
          <w:szCs w:val="22"/>
          <w:highlight w:val="none"/>
          <w:lang w:val="en-US" w:eastAsia="zh-CN" w:bidi="ar"/>
        </w:rPr>
        <w:t>（</w:t>
      </w:r>
      <w:r>
        <w:rPr>
          <w:rFonts w:hint="eastAsia" w:ascii="宋体" w:hAnsi="宋体" w:eastAsia="宋体" w:cs="宋体"/>
          <w:b w:val="0"/>
          <w:bCs w:val="0"/>
          <w:sz w:val="22"/>
          <w:szCs w:val="22"/>
          <w:highlight w:val="none"/>
          <w:lang w:bidi="ar"/>
        </w:rPr>
        <w:t>1）注册登录：支持使用微信授权登录，获取用户头像、用户ID等信息快捷注册账号；支持使用账号密码登录，支持验证码安全验证功能，提高系统安全性。</w:t>
      </w:r>
    </w:p>
    <w:p>
      <w:pPr>
        <w:rPr>
          <w:rFonts w:hint="eastAsia" w:ascii="宋体" w:hAnsi="宋体" w:eastAsia="宋体" w:cs="宋体"/>
          <w:b w:val="0"/>
          <w:bCs w:val="0"/>
          <w:sz w:val="22"/>
          <w:szCs w:val="22"/>
          <w:highlight w:val="none"/>
          <w:lang w:bidi="ar"/>
        </w:rPr>
      </w:pPr>
      <w:r>
        <w:rPr>
          <w:rFonts w:hint="eastAsia" w:ascii="宋体" w:hAnsi="宋体" w:eastAsia="宋体" w:cs="宋体"/>
          <w:b w:val="0"/>
          <w:bCs w:val="0"/>
          <w:sz w:val="22"/>
          <w:szCs w:val="22"/>
          <w:highlight w:val="none"/>
          <w:lang w:val="en-US" w:eastAsia="zh-CN" w:bidi="ar"/>
        </w:rPr>
        <w:t>（</w:t>
      </w:r>
      <w:r>
        <w:rPr>
          <w:rFonts w:hint="eastAsia" w:ascii="宋体" w:hAnsi="宋体" w:eastAsia="宋体" w:cs="宋体"/>
          <w:b w:val="0"/>
          <w:bCs w:val="0"/>
          <w:sz w:val="22"/>
          <w:szCs w:val="22"/>
          <w:highlight w:val="none"/>
          <w:lang w:bidi="ar"/>
        </w:rPr>
        <w:t>2）多终端登录：支持电脑端和移动端登录学习，不同终端可实现数据互传。</w:t>
      </w:r>
    </w:p>
    <w:p>
      <w:pPr>
        <w:rPr>
          <w:rFonts w:hint="eastAsia" w:ascii="宋体" w:hAnsi="宋体" w:eastAsia="宋体" w:cs="宋体"/>
          <w:b w:val="0"/>
          <w:bCs w:val="0"/>
          <w:sz w:val="22"/>
          <w:szCs w:val="22"/>
          <w:highlight w:val="none"/>
          <w:lang w:bidi="ar"/>
        </w:rPr>
      </w:pPr>
      <w:r>
        <w:rPr>
          <w:rFonts w:hint="eastAsia" w:ascii="宋体" w:hAnsi="宋体" w:eastAsia="宋体" w:cs="宋体"/>
          <w:b w:val="0"/>
          <w:bCs w:val="0"/>
          <w:sz w:val="22"/>
          <w:szCs w:val="22"/>
          <w:highlight w:val="none"/>
          <w:lang w:val="en-US" w:eastAsia="zh-CN" w:bidi="ar"/>
        </w:rPr>
        <w:t>（</w:t>
      </w:r>
      <w:r>
        <w:rPr>
          <w:rFonts w:hint="eastAsia" w:ascii="宋体" w:hAnsi="宋体" w:eastAsia="宋体" w:cs="宋体"/>
          <w:b w:val="0"/>
          <w:bCs w:val="0"/>
          <w:sz w:val="22"/>
          <w:szCs w:val="22"/>
          <w:highlight w:val="none"/>
          <w:lang w:bidi="ar"/>
        </w:rPr>
        <w:t>3）信息修改与完善：支持用户绑定机构、部门、工种信息，编辑个人头像、真实姓名，完善个人信息。</w:t>
      </w:r>
    </w:p>
    <w:p>
      <w:pPr>
        <w:rPr>
          <w:rFonts w:hint="eastAsia" w:ascii="宋体" w:hAnsi="宋体" w:eastAsia="宋体" w:cs="宋体"/>
          <w:b w:val="0"/>
          <w:bCs w:val="0"/>
          <w:sz w:val="22"/>
          <w:szCs w:val="22"/>
          <w:highlight w:val="none"/>
          <w:lang w:bidi="ar"/>
        </w:rPr>
      </w:pPr>
      <w:r>
        <w:rPr>
          <w:rFonts w:hint="eastAsia" w:ascii="宋体" w:hAnsi="宋体" w:eastAsia="宋体" w:cs="宋体"/>
          <w:b w:val="0"/>
          <w:bCs w:val="0"/>
          <w:sz w:val="22"/>
          <w:szCs w:val="22"/>
          <w:highlight w:val="none"/>
          <w:lang w:val="en-US" w:eastAsia="zh-CN" w:bidi="ar"/>
        </w:rPr>
        <w:t>（</w:t>
      </w:r>
      <w:r>
        <w:rPr>
          <w:rFonts w:hint="eastAsia" w:ascii="宋体" w:hAnsi="宋体" w:eastAsia="宋体" w:cs="宋体"/>
          <w:b w:val="0"/>
          <w:bCs w:val="0"/>
          <w:sz w:val="22"/>
          <w:szCs w:val="22"/>
          <w:highlight w:val="none"/>
          <w:lang w:bidi="ar"/>
        </w:rPr>
        <w:t>4）知识点学习：支持在线阅读文章、观看学习视频素材，在线交流、点赞、收藏功能；实现根据机构（班级）信息精准配置知识点资源，开展个性化学习；支持学习评分功能，学习完成根据管理员设置的条件可发放证书。</w:t>
      </w:r>
    </w:p>
    <w:p>
      <w:pPr>
        <w:rPr>
          <w:rFonts w:hint="eastAsia" w:ascii="宋体" w:hAnsi="宋体" w:eastAsia="宋体" w:cs="宋体"/>
          <w:b/>
          <w:bCs/>
          <w:sz w:val="22"/>
          <w:szCs w:val="22"/>
          <w:highlight w:val="none"/>
          <w:lang w:bidi="ar"/>
        </w:rPr>
      </w:pPr>
      <w:r>
        <w:rPr>
          <w:rFonts w:hint="eastAsia" w:ascii="宋体" w:hAnsi="宋体" w:eastAsia="宋体" w:cs="宋体"/>
          <w:b/>
          <w:bCs/>
          <w:sz w:val="22"/>
          <w:szCs w:val="22"/>
          <w:highlight w:val="none"/>
          <w:lang w:bidi="ar"/>
        </w:rPr>
        <w:t>（为保证软件质量及教学效果，此项需提供功能截图）</w:t>
      </w:r>
    </w:p>
    <w:p>
      <w:pPr>
        <w:pStyle w:val="2"/>
        <w:rPr>
          <w:rFonts w:hint="eastAsia"/>
          <w:highlight w:val="none"/>
        </w:rPr>
      </w:pPr>
    </w:p>
    <w:p>
      <w:pPr>
        <w:rPr>
          <w:rFonts w:hint="eastAsia" w:ascii="宋体" w:hAnsi="宋体" w:eastAsia="宋体" w:cs="宋体"/>
          <w:b/>
          <w:bCs/>
          <w:sz w:val="22"/>
          <w:szCs w:val="22"/>
          <w:highlight w:val="none"/>
          <w:lang w:eastAsia="zh-Hans" w:bidi="ar"/>
        </w:rPr>
      </w:pPr>
      <w:r>
        <w:rPr>
          <w:rFonts w:hint="eastAsia" w:ascii="宋体" w:hAnsi="宋体" w:eastAsia="宋体" w:cs="宋体"/>
          <w:b/>
          <w:bCs/>
          <w:sz w:val="22"/>
          <w:szCs w:val="22"/>
          <w:highlight w:val="none"/>
          <w:lang w:eastAsia="zh-Hans" w:bidi="ar"/>
        </w:rPr>
        <w:t>[指标项</w:t>
      </w:r>
      <w:r>
        <w:rPr>
          <w:rFonts w:hint="eastAsia" w:ascii="宋体" w:hAnsi="宋体" w:eastAsia="宋体" w:cs="宋体"/>
          <w:b/>
          <w:bCs/>
          <w:sz w:val="22"/>
          <w:szCs w:val="22"/>
          <w:highlight w:val="none"/>
          <w:lang w:val="en-US" w:eastAsia="zh-CN" w:bidi="ar"/>
        </w:rPr>
        <w:t>27</w:t>
      </w:r>
      <w:r>
        <w:rPr>
          <w:rFonts w:hint="eastAsia" w:ascii="宋体" w:hAnsi="宋体" w:eastAsia="宋体" w:cs="宋体"/>
          <w:b/>
          <w:bCs/>
          <w:sz w:val="22"/>
          <w:szCs w:val="22"/>
          <w:highlight w:val="none"/>
          <w:lang w:eastAsia="zh-Hans" w:bidi="ar"/>
        </w:rPr>
        <w:t>]</w:t>
      </w:r>
    </w:p>
    <w:p>
      <w:pPr>
        <w:rPr>
          <w:rFonts w:hint="eastAsia" w:ascii="宋体" w:hAnsi="宋体" w:eastAsia="宋体" w:cs="宋体"/>
          <w:b w:val="0"/>
          <w:bCs w:val="0"/>
          <w:sz w:val="22"/>
          <w:szCs w:val="22"/>
          <w:highlight w:val="none"/>
          <w:lang w:bidi="ar"/>
        </w:rPr>
      </w:pPr>
      <w:r>
        <w:rPr>
          <w:rFonts w:hint="eastAsia" w:ascii="宋体" w:hAnsi="宋体" w:eastAsia="宋体" w:cs="宋体"/>
          <w:b/>
          <w:bCs/>
          <w:sz w:val="22"/>
          <w:szCs w:val="22"/>
          <w:highlight w:val="none"/>
          <w:lang w:bidi="ar"/>
        </w:rPr>
        <w:t>▲</w:t>
      </w:r>
      <w:r>
        <w:rPr>
          <w:rFonts w:hint="eastAsia" w:ascii="宋体" w:hAnsi="宋体" w:eastAsia="宋体" w:cs="宋体"/>
          <w:b w:val="0"/>
          <w:bCs w:val="0"/>
          <w:sz w:val="22"/>
          <w:szCs w:val="22"/>
          <w:highlight w:val="none"/>
          <w:lang w:bidi="ar"/>
        </w:rPr>
        <w:t>2.</w:t>
      </w:r>
      <w:r>
        <w:rPr>
          <w:rFonts w:hint="eastAsia" w:ascii="宋体" w:hAnsi="宋体" w:eastAsia="宋体" w:cs="宋体"/>
          <w:b w:val="0"/>
          <w:bCs w:val="0"/>
          <w:sz w:val="22"/>
          <w:szCs w:val="22"/>
          <w:highlight w:val="none"/>
          <w:lang w:val="en-US" w:eastAsia="zh-CN" w:bidi="ar"/>
        </w:rPr>
        <w:t>1.2</w:t>
      </w:r>
      <w:r>
        <w:rPr>
          <w:rFonts w:hint="eastAsia" w:ascii="宋体" w:hAnsi="宋体" w:eastAsia="宋体" w:cs="宋体"/>
          <w:b w:val="0"/>
          <w:bCs w:val="0"/>
          <w:sz w:val="22"/>
          <w:szCs w:val="22"/>
          <w:highlight w:val="none"/>
          <w:lang w:bidi="ar"/>
        </w:rPr>
        <w:t>视频素材资源</w:t>
      </w:r>
    </w:p>
    <w:p>
      <w:pPr>
        <w:rPr>
          <w:rFonts w:hint="eastAsia" w:ascii="宋体" w:hAnsi="宋体" w:eastAsia="宋体" w:cs="宋体"/>
          <w:b w:val="0"/>
          <w:bCs w:val="0"/>
          <w:sz w:val="22"/>
          <w:szCs w:val="22"/>
          <w:highlight w:val="none"/>
          <w:lang w:bidi="ar"/>
        </w:rPr>
      </w:pPr>
      <w:r>
        <w:rPr>
          <w:rFonts w:hint="eastAsia" w:ascii="宋体" w:hAnsi="宋体" w:eastAsia="宋体" w:cs="宋体"/>
          <w:b w:val="0"/>
          <w:bCs w:val="0"/>
          <w:sz w:val="22"/>
          <w:szCs w:val="22"/>
          <w:highlight w:val="none"/>
          <w:lang w:bidi="ar"/>
        </w:rPr>
        <w:t>按照分类包括公共安全、消防安全、用电安全、人身防护及应急处理四大类。</w:t>
      </w:r>
    </w:p>
    <w:p>
      <w:pPr>
        <w:rPr>
          <w:rFonts w:hint="eastAsia" w:ascii="宋体" w:hAnsi="宋体" w:eastAsia="宋体" w:cs="宋体"/>
          <w:b w:val="0"/>
          <w:bCs w:val="0"/>
          <w:sz w:val="22"/>
          <w:szCs w:val="22"/>
          <w:highlight w:val="none"/>
          <w:lang w:bidi="ar"/>
        </w:rPr>
      </w:pPr>
      <w:r>
        <w:rPr>
          <w:rFonts w:hint="eastAsia" w:ascii="宋体" w:hAnsi="宋体" w:eastAsia="宋体" w:cs="宋体"/>
          <w:b w:val="0"/>
          <w:bCs w:val="0"/>
          <w:sz w:val="22"/>
          <w:szCs w:val="22"/>
          <w:highlight w:val="none"/>
          <w:lang w:val="en-US" w:eastAsia="zh-CN" w:bidi="ar"/>
        </w:rPr>
        <w:t>（</w:t>
      </w:r>
      <w:r>
        <w:rPr>
          <w:rFonts w:hint="eastAsia" w:ascii="宋体" w:hAnsi="宋体" w:eastAsia="宋体" w:cs="宋体"/>
          <w:b w:val="0"/>
          <w:bCs w:val="0"/>
          <w:sz w:val="22"/>
          <w:szCs w:val="22"/>
          <w:highlight w:val="none"/>
          <w:lang w:bidi="ar"/>
        </w:rPr>
        <w:t>1）公共安全相关。内容包含：电梯被困时的应急处理、地铁失火的应急处理措施、亚硝酸盐中毒时的应急处理措施、地震来临的应急处理措施、突发洪水的应急处置措施、高空坠物的防护措施与应急处理措施、溺水的防范应急方法、防溺水安全、防疫安全、交通安全、网络信息安全等内容</w:t>
      </w:r>
    </w:p>
    <w:p>
      <w:pPr>
        <w:rPr>
          <w:rFonts w:hint="eastAsia" w:ascii="宋体" w:hAnsi="宋体" w:eastAsia="宋体" w:cs="宋体"/>
          <w:b w:val="0"/>
          <w:bCs w:val="0"/>
          <w:sz w:val="22"/>
          <w:szCs w:val="22"/>
          <w:highlight w:val="none"/>
          <w:lang w:bidi="ar"/>
        </w:rPr>
      </w:pPr>
      <w:r>
        <w:rPr>
          <w:rFonts w:hint="eastAsia" w:ascii="宋体" w:hAnsi="宋体" w:eastAsia="宋体" w:cs="宋体"/>
          <w:b w:val="0"/>
          <w:bCs w:val="0"/>
          <w:sz w:val="22"/>
          <w:szCs w:val="22"/>
          <w:highlight w:val="none"/>
          <w:lang w:val="en-US" w:eastAsia="zh-CN" w:bidi="ar"/>
        </w:rPr>
        <w:t>（</w:t>
      </w:r>
      <w:r>
        <w:rPr>
          <w:rFonts w:hint="eastAsia" w:ascii="宋体" w:hAnsi="宋体" w:eastAsia="宋体" w:cs="宋体"/>
          <w:b w:val="0"/>
          <w:bCs w:val="0"/>
          <w:sz w:val="22"/>
          <w:szCs w:val="22"/>
          <w:highlight w:val="none"/>
          <w:lang w:bidi="ar"/>
        </w:rPr>
        <w:t>2</w:t>
      </w:r>
      <w:r>
        <w:rPr>
          <w:rFonts w:hint="eastAsia" w:ascii="宋体" w:hAnsi="宋体" w:eastAsia="宋体" w:cs="宋体"/>
          <w:b w:val="0"/>
          <w:bCs w:val="0"/>
          <w:sz w:val="22"/>
          <w:szCs w:val="22"/>
          <w:highlight w:val="none"/>
          <w:lang w:eastAsia="zh-CN" w:bidi="ar"/>
        </w:rPr>
        <w:t>）</w:t>
      </w:r>
      <w:r>
        <w:rPr>
          <w:rFonts w:hint="eastAsia" w:ascii="宋体" w:hAnsi="宋体" w:eastAsia="宋体" w:cs="宋体"/>
          <w:b w:val="0"/>
          <w:bCs w:val="0"/>
          <w:sz w:val="22"/>
          <w:szCs w:val="22"/>
          <w:highlight w:val="none"/>
          <w:lang w:bidi="ar"/>
        </w:rPr>
        <w:t>消防安全相关。内容包含：火灾分类、预防火灾的基本措施、消防沙的使用、消防栓的分类及使用、灭火毯的使用方法讲解、灭火器的分类及使用方法讲解、缓降逃生绳的使用、扑救压缩气体或液化气体火灾的基本方法、扑救易燃液体火灾的基本方法、扑救遇湿易燃物品火灾的基本方法、扑救易燃固体及自燃物品火灾的方法、扑救氧化剂和有机过氧化物火灾的基本方法、自动喷水灭火系统、消防疏散图以及消防安全标志和安全色等内容；</w:t>
      </w:r>
    </w:p>
    <w:p>
      <w:pPr>
        <w:rPr>
          <w:rFonts w:hint="eastAsia" w:ascii="宋体" w:hAnsi="宋体" w:eastAsia="宋体" w:cs="宋体"/>
          <w:b w:val="0"/>
          <w:bCs w:val="0"/>
          <w:sz w:val="22"/>
          <w:szCs w:val="22"/>
          <w:highlight w:val="none"/>
          <w:lang w:bidi="ar"/>
        </w:rPr>
      </w:pPr>
      <w:r>
        <w:rPr>
          <w:rFonts w:hint="eastAsia" w:ascii="宋体" w:hAnsi="宋体" w:eastAsia="宋体" w:cs="宋体"/>
          <w:b w:val="0"/>
          <w:bCs w:val="0"/>
          <w:sz w:val="22"/>
          <w:szCs w:val="22"/>
          <w:highlight w:val="none"/>
          <w:lang w:eastAsia="zh-CN" w:bidi="ar"/>
        </w:rPr>
        <w:t>（</w:t>
      </w:r>
      <w:r>
        <w:rPr>
          <w:rFonts w:hint="eastAsia" w:ascii="宋体" w:hAnsi="宋体" w:eastAsia="宋体" w:cs="宋体"/>
          <w:b w:val="0"/>
          <w:bCs w:val="0"/>
          <w:sz w:val="22"/>
          <w:szCs w:val="22"/>
          <w:highlight w:val="none"/>
          <w:lang w:bidi="ar"/>
        </w:rPr>
        <w:t>3）人身防护与应急处理相关。内容包含：心肺复苏讲解、穿戴规则讲解、实验室常见的事故及预防措施、手套的分类及配适性选择、口罩的分类及配适性选择、A级防护服的穿脱、AED的使用、正压式呼吸器的使用、硫化氢中毒时的应急抢救措施化学烧伤的处理、实验室割伤处理、玻璃仪器打碎的处理、酸碱化学品洒出处理、水银洒出处理、起重机安全使用等内容；</w:t>
      </w:r>
    </w:p>
    <w:p>
      <w:pPr>
        <w:rPr>
          <w:rFonts w:hint="eastAsia" w:ascii="宋体" w:hAnsi="宋体" w:eastAsia="宋体" w:cs="宋体"/>
          <w:b w:val="0"/>
          <w:bCs w:val="0"/>
          <w:sz w:val="22"/>
          <w:szCs w:val="22"/>
          <w:highlight w:val="none"/>
          <w:lang w:bidi="ar"/>
        </w:rPr>
      </w:pPr>
      <w:r>
        <w:rPr>
          <w:rFonts w:hint="eastAsia" w:ascii="宋体" w:hAnsi="宋体" w:eastAsia="宋体" w:cs="宋体"/>
          <w:b w:val="0"/>
          <w:bCs w:val="0"/>
          <w:sz w:val="22"/>
          <w:szCs w:val="22"/>
          <w:highlight w:val="none"/>
          <w:lang w:eastAsia="zh-CN" w:bidi="ar"/>
        </w:rPr>
        <w:t>（</w:t>
      </w:r>
      <w:r>
        <w:rPr>
          <w:rFonts w:hint="eastAsia" w:ascii="宋体" w:hAnsi="宋体" w:eastAsia="宋体" w:cs="宋体"/>
          <w:b w:val="0"/>
          <w:bCs w:val="0"/>
          <w:sz w:val="22"/>
          <w:szCs w:val="22"/>
          <w:highlight w:val="none"/>
          <w:lang w:bidi="ar"/>
        </w:rPr>
        <w:t>4）用电安全。内容包含：触电的紧急处理、实验室带电设备维护、烘箱冰箱的使用、实验室安全用电规范、配电箱讲解及注意事项、插线板的使用规范等内容；</w:t>
      </w:r>
    </w:p>
    <w:p>
      <w:pPr>
        <w:rPr>
          <w:rFonts w:hint="eastAsia" w:ascii="宋体" w:hAnsi="宋体" w:eastAsia="宋体" w:cs="宋体"/>
          <w:b/>
          <w:bCs/>
          <w:sz w:val="22"/>
          <w:szCs w:val="22"/>
          <w:highlight w:val="none"/>
          <w:lang w:bidi="ar"/>
        </w:rPr>
      </w:pPr>
      <w:r>
        <w:rPr>
          <w:rFonts w:hint="eastAsia" w:ascii="宋体" w:hAnsi="宋体" w:eastAsia="宋体" w:cs="宋体"/>
          <w:b/>
          <w:bCs/>
          <w:sz w:val="22"/>
          <w:szCs w:val="22"/>
          <w:highlight w:val="none"/>
          <w:lang w:bidi="ar"/>
        </w:rPr>
        <w:t>（为保证软件质量及教学效果，此项需提供功能截图）</w:t>
      </w:r>
    </w:p>
    <w:p>
      <w:pPr>
        <w:rPr>
          <w:rFonts w:hint="eastAsia" w:ascii="宋体" w:hAnsi="宋体" w:eastAsia="宋体" w:cs="宋体"/>
          <w:sz w:val="22"/>
          <w:szCs w:val="22"/>
          <w:highlight w:val="none"/>
          <w:lang w:val="en-US" w:eastAsia="zh-CN" w:bidi="ar"/>
        </w:rPr>
      </w:pPr>
    </w:p>
    <w:p>
      <w:pPr>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val="en-US" w:eastAsia="zh-CN" w:bidi="ar"/>
        </w:rPr>
        <w:t>2.1.</w:t>
      </w:r>
      <w:r>
        <w:rPr>
          <w:rFonts w:hint="eastAsia" w:ascii="宋体" w:hAnsi="宋体" w:eastAsia="宋体" w:cs="宋体"/>
          <w:sz w:val="22"/>
          <w:szCs w:val="22"/>
          <w:highlight w:val="none"/>
          <w:lang w:bidi="ar"/>
        </w:rPr>
        <w:t>3火灾应急处理与逃生</w:t>
      </w:r>
      <w:r>
        <w:rPr>
          <w:rFonts w:hint="eastAsia" w:ascii="宋体" w:hAnsi="宋体" w:eastAsia="宋体" w:cs="宋体"/>
          <w:sz w:val="22"/>
          <w:szCs w:val="22"/>
          <w:highlight w:val="none"/>
          <w:lang w:bidi="ar"/>
        </w:rPr>
        <w:tab/>
      </w:r>
    </w:p>
    <w:p>
      <w:pPr>
        <w:rPr>
          <w:rFonts w:hint="eastAsia" w:ascii="宋体" w:hAnsi="宋体" w:eastAsia="宋体" w:cs="宋体"/>
          <w:b/>
          <w:bCs/>
          <w:sz w:val="22"/>
          <w:szCs w:val="22"/>
          <w:highlight w:val="none"/>
          <w:lang w:eastAsia="zh-Hans" w:bidi="ar"/>
        </w:rPr>
      </w:pPr>
      <w:r>
        <w:rPr>
          <w:rFonts w:hint="eastAsia" w:ascii="宋体" w:hAnsi="宋体" w:eastAsia="宋体" w:cs="宋体"/>
          <w:b/>
          <w:bCs/>
          <w:sz w:val="22"/>
          <w:szCs w:val="22"/>
          <w:highlight w:val="none"/>
          <w:lang w:eastAsia="zh-Hans" w:bidi="ar"/>
        </w:rPr>
        <w:t>[指标项</w:t>
      </w:r>
      <w:r>
        <w:rPr>
          <w:rFonts w:hint="eastAsia" w:ascii="宋体" w:hAnsi="宋体" w:eastAsia="宋体" w:cs="宋体"/>
          <w:b/>
          <w:bCs/>
          <w:sz w:val="22"/>
          <w:szCs w:val="22"/>
          <w:highlight w:val="none"/>
          <w:lang w:val="en-US" w:eastAsia="zh-CN" w:bidi="ar"/>
        </w:rPr>
        <w:t>28</w:t>
      </w:r>
      <w:r>
        <w:rPr>
          <w:rFonts w:hint="eastAsia" w:ascii="宋体" w:hAnsi="宋体" w:eastAsia="宋体" w:cs="宋体"/>
          <w:b/>
          <w:bCs/>
          <w:sz w:val="22"/>
          <w:szCs w:val="22"/>
          <w:highlight w:val="none"/>
          <w:lang w:eastAsia="zh-Hans" w:bidi="ar"/>
        </w:rPr>
        <w:t>]</w:t>
      </w:r>
    </w:p>
    <w:p>
      <w:pPr>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bidi="ar"/>
        </w:rPr>
        <w:t>平台软件以真实建筑消防系统为支撑，模拟火灾发生后系统联动工作，并具有系统的理论知识讲解，通过软件模拟，提高安全意识，有效防控安全隐患，培养学生火灾事故处理能力，仿真操作过程与真实消防系统运行过程完全相同，仿真结果与真实系统结果接近，能够满足日常培训、常规考核以及技能大赛等各种需求。</w:t>
      </w:r>
    </w:p>
    <w:p>
      <w:pPr>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eastAsia="zh-CN" w:bidi="ar"/>
        </w:rPr>
        <w:t>（</w:t>
      </w:r>
      <w:r>
        <w:rPr>
          <w:rFonts w:hint="eastAsia" w:ascii="宋体" w:hAnsi="宋体" w:eastAsia="宋体" w:cs="宋体"/>
          <w:sz w:val="22"/>
          <w:szCs w:val="22"/>
          <w:highlight w:val="none"/>
          <w:lang w:bidi="ar"/>
        </w:rPr>
        <w:t>1）消防设施认知与火灾事故处理</w:t>
      </w:r>
    </w:p>
    <w:p>
      <w:pPr>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bidi="ar"/>
        </w:rPr>
        <w:t>控制人物在三维场景中移动，找到消防设施并确认位置，每个消防设施均配备flash讲解，其中包括灭火器、消火栓、消防沙、灭火毯、自动喷水灭火系统、烟感报警系统等设备的介绍。</w:t>
      </w:r>
    </w:p>
    <w:p>
      <w:pPr>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bidi="ar"/>
        </w:rPr>
        <w:t>模拟两种不同规模火灾，分别为小型火灾和大型火灾。</w:t>
      </w:r>
    </w:p>
    <w:p>
      <w:pPr>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bidi="ar"/>
        </w:rPr>
        <w:t>小火发生，快速切断设备电源，找到灭火器并拿回火灾现场，点击灭火器图标，自动进行喷射灭火。</w:t>
      </w:r>
    </w:p>
    <w:p>
      <w:pPr>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bidi="ar"/>
        </w:rPr>
        <w:t>大火发生，火势和浓烟在房间内蔓延，无法自主灭火，快速找到逃生通道逃生，逃生时可通过键盘按键调节人物姿态，弯腰捂鼻逃生，若直立奔跑，就会被呛到需重新开始逃生。逃生开始后自动启动倒计时，逃生应在计时结束前完成。</w:t>
      </w:r>
    </w:p>
    <w:p>
      <w:pPr>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val="en-US" w:eastAsia="zh-CN" w:bidi="ar"/>
        </w:rPr>
        <w:t>（2）</w:t>
      </w:r>
      <w:r>
        <w:rPr>
          <w:rFonts w:hint="eastAsia" w:ascii="宋体" w:hAnsi="宋体" w:eastAsia="宋体" w:cs="宋体"/>
          <w:sz w:val="22"/>
          <w:szCs w:val="22"/>
          <w:highlight w:val="none"/>
          <w:lang w:bidi="ar"/>
        </w:rPr>
        <w:t>现场展示模拟发生火灾事故，消防系统联动。</w:t>
      </w:r>
    </w:p>
    <w:p>
      <w:pPr>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bidi="ar"/>
        </w:rPr>
        <w:t>建筑为半透明形式，展现各个组件包括烟感温感、手动火警按钮、声光报警、防排烟系统、应急照明等与主机之间的信号传递和联动状态。</w:t>
      </w:r>
    </w:p>
    <w:p>
      <w:pPr>
        <w:rPr>
          <w:rFonts w:hint="eastAsia" w:ascii="宋体" w:hAnsi="宋体" w:eastAsia="宋体" w:cs="宋体"/>
          <w:sz w:val="22"/>
          <w:szCs w:val="22"/>
          <w:highlight w:val="none"/>
          <w:lang w:val="en-US" w:eastAsia="zh-CN" w:bidi="ar"/>
        </w:rPr>
      </w:pPr>
    </w:p>
    <w:p>
      <w:pPr>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val="en-US" w:eastAsia="zh-CN" w:bidi="ar"/>
        </w:rPr>
        <w:t>2.1.</w:t>
      </w:r>
      <w:r>
        <w:rPr>
          <w:rFonts w:hint="eastAsia" w:ascii="宋体" w:hAnsi="宋体" w:eastAsia="宋体" w:cs="宋体"/>
          <w:sz w:val="22"/>
          <w:szCs w:val="22"/>
          <w:highlight w:val="none"/>
          <w:lang w:bidi="ar"/>
        </w:rPr>
        <w:t>4地震安全科普与避险逃生模块</w:t>
      </w:r>
    </w:p>
    <w:p>
      <w:pPr>
        <w:rPr>
          <w:rFonts w:hint="eastAsia" w:ascii="宋体" w:hAnsi="宋体" w:eastAsia="宋体" w:cs="宋体"/>
          <w:b/>
          <w:bCs/>
          <w:sz w:val="22"/>
          <w:szCs w:val="22"/>
          <w:highlight w:val="none"/>
          <w:lang w:eastAsia="zh-Hans" w:bidi="ar"/>
        </w:rPr>
      </w:pPr>
      <w:r>
        <w:rPr>
          <w:rFonts w:hint="eastAsia" w:ascii="宋体" w:hAnsi="宋体" w:eastAsia="宋体" w:cs="宋体"/>
          <w:b/>
          <w:bCs/>
          <w:sz w:val="22"/>
          <w:szCs w:val="22"/>
          <w:highlight w:val="none"/>
          <w:lang w:eastAsia="zh-Hans" w:bidi="ar"/>
        </w:rPr>
        <w:t>[指标项</w:t>
      </w:r>
      <w:r>
        <w:rPr>
          <w:rFonts w:hint="eastAsia" w:ascii="宋体" w:hAnsi="宋体" w:eastAsia="宋体" w:cs="宋体"/>
          <w:b/>
          <w:bCs/>
          <w:sz w:val="22"/>
          <w:szCs w:val="22"/>
          <w:highlight w:val="none"/>
          <w:lang w:val="en-US" w:eastAsia="zh-CN" w:bidi="ar"/>
        </w:rPr>
        <w:t>29</w:t>
      </w:r>
      <w:r>
        <w:rPr>
          <w:rFonts w:hint="eastAsia" w:ascii="宋体" w:hAnsi="宋体" w:eastAsia="宋体" w:cs="宋体"/>
          <w:b/>
          <w:bCs/>
          <w:sz w:val="22"/>
          <w:szCs w:val="22"/>
          <w:highlight w:val="none"/>
          <w:lang w:eastAsia="zh-Hans" w:bidi="ar"/>
        </w:rPr>
        <w:t>]</w:t>
      </w:r>
    </w:p>
    <w:p>
      <w:pPr>
        <w:rPr>
          <w:rFonts w:hint="eastAsia" w:ascii="宋体" w:hAnsi="宋体" w:eastAsia="宋体" w:cs="宋体"/>
          <w:b/>
          <w:bCs/>
          <w:sz w:val="22"/>
          <w:szCs w:val="22"/>
          <w:highlight w:val="none"/>
          <w:lang w:bidi="ar"/>
        </w:rPr>
      </w:pPr>
      <w:r>
        <w:rPr>
          <w:rFonts w:hint="eastAsia" w:ascii="宋体" w:hAnsi="宋体" w:eastAsia="宋体" w:cs="宋体"/>
          <w:sz w:val="22"/>
          <w:szCs w:val="22"/>
          <w:highlight w:val="none"/>
          <w:lang w:bidi="ar"/>
        </w:rPr>
        <w:t>该虚拟仿真软件分为三个模块，分别是地震征兆常识的认知、地震预警与避险的科普、地震发生中的避险与逃生。在第一模块中设计了谚语作为地震前征兆认识的学习内容，并以选择题的形式扩展学生对于地震知识的认识，比如世界上最早测定地震方位的地动仪是谁发明的、地动仪可以测试地震的哪些内容、地震应急包里面有哪些物品。在第二模块中以flash的形式向学生科普地震预警与地震预报的区别和在不同情况下面对地震发生时的避险方式，以图片形式介绍地震预警信息的内容和形式。在第三模块中设计了公共场所室内地震场景，根据操作指引在不同的位置学习如何避险，包括避险地点与避险姿势的选择，最后在地震稳定后选择逃生路线尽快到室外空旷地。</w:t>
      </w:r>
    </w:p>
    <w:p>
      <w:pPr>
        <w:pStyle w:val="2"/>
        <w:rPr>
          <w:rFonts w:hint="eastAsia"/>
          <w:highlight w:val="none"/>
        </w:rPr>
      </w:pPr>
    </w:p>
    <w:p>
      <w:pPr>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val="en-US" w:eastAsia="zh-CN" w:bidi="ar"/>
        </w:rPr>
        <w:t>2.1.</w:t>
      </w:r>
      <w:r>
        <w:rPr>
          <w:rFonts w:hint="eastAsia" w:ascii="宋体" w:hAnsi="宋体" w:eastAsia="宋体" w:cs="宋体"/>
          <w:sz w:val="22"/>
          <w:szCs w:val="22"/>
          <w:highlight w:val="none"/>
          <w:lang w:bidi="ar"/>
        </w:rPr>
        <w:t>5地震灾难急救模块</w:t>
      </w:r>
    </w:p>
    <w:p>
      <w:pPr>
        <w:rPr>
          <w:rFonts w:hint="eastAsia" w:ascii="宋体" w:hAnsi="宋体" w:eastAsia="宋体" w:cs="宋体"/>
          <w:b/>
          <w:bCs/>
          <w:sz w:val="22"/>
          <w:szCs w:val="22"/>
          <w:highlight w:val="none"/>
          <w:lang w:eastAsia="zh-Hans" w:bidi="ar"/>
        </w:rPr>
      </w:pPr>
      <w:r>
        <w:rPr>
          <w:rFonts w:hint="eastAsia" w:ascii="宋体" w:hAnsi="宋体" w:eastAsia="宋体" w:cs="宋体"/>
          <w:b/>
          <w:bCs/>
          <w:sz w:val="22"/>
          <w:szCs w:val="22"/>
          <w:highlight w:val="none"/>
          <w:lang w:eastAsia="zh-Hans" w:bidi="ar"/>
        </w:rPr>
        <w:t>[指标项</w:t>
      </w:r>
      <w:r>
        <w:rPr>
          <w:rFonts w:hint="eastAsia" w:ascii="宋体" w:hAnsi="宋体" w:eastAsia="宋体" w:cs="宋体"/>
          <w:b/>
          <w:bCs/>
          <w:sz w:val="22"/>
          <w:szCs w:val="22"/>
          <w:highlight w:val="none"/>
          <w:lang w:val="en-US" w:eastAsia="zh-CN" w:bidi="ar"/>
        </w:rPr>
        <w:t>30</w:t>
      </w:r>
      <w:r>
        <w:rPr>
          <w:rFonts w:hint="eastAsia" w:ascii="宋体" w:hAnsi="宋体" w:eastAsia="宋体" w:cs="宋体"/>
          <w:b/>
          <w:bCs/>
          <w:sz w:val="22"/>
          <w:szCs w:val="22"/>
          <w:highlight w:val="none"/>
          <w:lang w:eastAsia="zh-Hans" w:bidi="ar"/>
        </w:rPr>
        <w:t>]</w:t>
      </w:r>
    </w:p>
    <w:p>
      <w:pPr>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bidi="ar"/>
        </w:rPr>
        <w:t>该虚拟仿真软件分为三个模块，分别是地震征兆常识的认知、地震预警与避险的科普、紧急情况下的医疗救援。在第一模块中设计了谚语作为地震前征兆认识的学习内容，并以选择题的形式扩展学生对于地震知识的认识，比如世界上最早测定地震方位的地动仪是谁发明的、地动仪可以测试地震的哪些内容、地震应急包里面有哪些物品。在第二模块中以flash的形式向学生科普地震预警与地震预报的区别和在不同情况下面对地震发生时的避险方式，以图片形式介绍地震预警信息的内容和形式。在第三模块中开展医疗救援，首先介绍医疗小组的人员配置与分工的原则，医疗物资的选取，然后在虚拟现实的地震后场景中进行实际医疗救治，包括伤员分类的流程、伤员救治的原则、轻伤员的处理、危重伤员的转移、特殊情况应对、心肺复苏的应用等。</w:t>
      </w:r>
    </w:p>
    <w:p>
      <w:pPr>
        <w:rPr>
          <w:rFonts w:hint="eastAsia" w:ascii="宋体" w:hAnsi="宋体" w:eastAsia="宋体" w:cs="宋体"/>
          <w:sz w:val="22"/>
          <w:szCs w:val="22"/>
          <w:highlight w:val="none"/>
          <w:lang w:val="en-US" w:eastAsia="zh-CN" w:bidi="ar"/>
        </w:rPr>
      </w:pPr>
    </w:p>
    <w:p>
      <w:pPr>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val="en-US" w:eastAsia="zh-CN" w:bidi="ar"/>
        </w:rPr>
        <w:t>2.1.6</w:t>
      </w:r>
      <w:r>
        <w:rPr>
          <w:rFonts w:hint="eastAsia" w:ascii="宋体" w:hAnsi="宋体" w:eastAsia="宋体" w:cs="宋体"/>
          <w:sz w:val="22"/>
          <w:szCs w:val="22"/>
          <w:highlight w:val="none"/>
          <w:lang w:bidi="ar"/>
        </w:rPr>
        <w:t>课程培训和考核</w:t>
      </w:r>
    </w:p>
    <w:p>
      <w:pPr>
        <w:widowControl/>
        <w:jc w:val="both"/>
        <w:rPr>
          <w:rFonts w:ascii="宋体" w:hAnsi="宋体" w:eastAsia="宋体" w:cs="Times New Roman"/>
          <w:kern w:val="0"/>
          <w:sz w:val="22"/>
          <w:szCs w:val="22"/>
          <w:highlight w:val="none"/>
          <w:lang w:eastAsia="zh-Hans"/>
        </w:rPr>
      </w:pPr>
      <w:r>
        <w:rPr>
          <w:rFonts w:ascii="宋体" w:hAnsi="宋体" w:eastAsia="宋体" w:cs="宋体"/>
          <w:b/>
          <w:kern w:val="0"/>
          <w:sz w:val="22"/>
          <w:szCs w:val="22"/>
          <w:highlight w:val="none"/>
          <w:lang w:eastAsia="zh-Hans"/>
        </w:rPr>
        <w:t>[指标项</w:t>
      </w:r>
      <w:r>
        <w:rPr>
          <w:rFonts w:hint="eastAsia" w:ascii="宋体" w:hAnsi="宋体" w:eastAsia="宋体" w:cs="宋体"/>
          <w:b/>
          <w:kern w:val="0"/>
          <w:sz w:val="22"/>
          <w:szCs w:val="22"/>
          <w:highlight w:val="none"/>
          <w:lang w:val="en-US" w:eastAsia="zh-CN"/>
        </w:rPr>
        <w:t>31</w:t>
      </w:r>
      <w:r>
        <w:rPr>
          <w:rFonts w:ascii="宋体" w:hAnsi="宋体" w:eastAsia="宋体" w:cs="宋体"/>
          <w:b/>
          <w:kern w:val="0"/>
          <w:sz w:val="22"/>
          <w:szCs w:val="22"/>
          <w:highlight w:val="none"/>
          <w:lang w:eastAsia="zh-Hans"/>
        </w:rPr>
        <w:t>]</w:t>
      </w:r>
    </w:p>
    <w:p>
      <w:pPr>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eastAsia="zh-CN" w:bidi="ar"/>
        </w:rPr>
        <w:t>（</w:t>
      </w:r>
      <w:r>
        <w:rPr>
          <w:rFonts w:hint="eastAsia" w:ascii="宋体" w:hAnsi="宋体" w:eastAsia="宋体" w:cs="宋体"/>
          <w:sz w:val="22"/>
          <w:szCs w:val="22"/>
          <w:highlight w:val="none"/>
          <w:lang w:val="en-US" w:eastAsia="zh-CN" w:bidi="ar"/>
        </w:rPr>
        <w:t>1）</w:t>
      </w:r>
      <w:r>
        <w:rPr>
          <w:rFonts w:hint="eastAsia" w:ascii="宋体" w:hAnsi="宋体" w:eastAsia="宋体" w:cs="宋体"/>
          <w:sz w:val="22"/>
          <w:szCs w:val="22"/>
          <w:highlight w:val="none"/>
          <w:lang w:bidi="ar"/>
        </w:rPr>
        <w:t>培训系统功能</w:t>
      </w:r>
    </w:p>
    <w:p>
      <w:pPr>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bidi="ar"/>
        </w:rPr>
        <w:t>1）数学模型：为虚拟实验平台提供后台逻辑支撑运算。前台利用虚拟现实技术搭建可视化的实验场景、实验物品。前台虚拟仿真结合后台数学模型，达到支持演示、交互、计算、设计于一体化的实验环境。</w:t>
      </w:r>
    </w:p>
    <w:p>
      <w:pPr>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bidi="ar"/>
        </w:rPr>
        <w:t>2）虚拟现实HMI：搭建一个高度逼真的建筑内的消防系统场景，在该场景主要完成现场操作及其它辅助操作功能。</w:t>
      </w:r>
    </w:p>
    <w:p>
      <w:pPr>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bidi="ar"/>
        </w:rPr>
        <w:t>3）软件3D场景其操作方式和真实实验室一致。可以实时模拟真实工艺装置的现象和过程，通过人机交互，产生和真实工艺高度一致的结果。</w:t>
      </w:r>
    </w:p>
    <w:p>
      <w:pPr>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bidi="ar"/>
        </w:rPr>
        <w:t>4）评分系统：虚拟现实场景中的操作进行实时评定，可导出、打印成绩。</w:t>
      </w:r>
    </w:p>
    <w:p>
      <w:pPr>
        <w:rPr>
          <w:rFonts w:hint="eastAsia" w:ascii="宋体" w:hAnsi="宋体" w:eastAsia="宋体" w:cs="宋体"/>
          <w:b/>
          <w:bCs/>
          <w:sz w:val="22"/>
          <w:szCs w:val="22"/>
          <w:highlight w:val="none"/>
          <w:lang w:eastAsia="zh-Hans" w:bidi="ar"/>
        </w:rPr>
      </w:pPr>
      <w:r>
        <w:rPr>
          <w:rFonts w:hint="eastAsia" w:ascii="宋体" w:hAnsi="宋体" w:eastAsia="宋体" w:cs="宋体"/>
          <w:b/>
          <w:bCs/>
          <w:sz w:val="22"/>
          <w:szCs w:val="22"/>
          <w:highlight w:val="none"/>
          <w:lang w:eastAsia="zh-Hans" w:bidi="ar"/>
        </w:rPr>
        <w:t>[指标项</w:t>
      </w:r>
      <w:r>
        <w:rPr>
          <w:rFonts w:hint="eastAsia" w:ascii="宋体" w:hAnsi="宋体" w:eastAsia="宋体" w:cs="宋体"/>
          <w:b/>
          <w:bCs/>
          <w:sz w:val="22"/>
          <w:szCs w:val="22"/>
          <w:highlight w:val="none"/>
          <w:lang w:val="en-US" w:eastAsia="zh-CN" w:bidi="ar"/>
        </w:rPr>
        <w:t>32</w:t>
      </w:r>
      <w:r>
        <w:rPr>
          <w:rFonts w:hint="eastAsia" w:ascii="宋体" w:hAnsi="宋体" w:eastAsia="宋体" w:cs="宋体"/>
          <w:b/>
          <w:bCs/>
          <w:sz w:val="22"/>
          <w:szCs w:val="22"/>
          <w:highlight w:val="none"/>
          <w:lang w:eastAsia="zh-Hans" w:bidi="ar"/>
        </w:rPr>
        <w:t>]</w:t>
      </w:r>
    </w:p>
    <w:p>
      <w:pPr>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eastAsia="zh-CN" w:bidi="ar"/>
        </w:rPr>
        <w:t>（</w:t>
      </w:r>
      <w:r>
        <w:rPr>
          <w:rFonts w:hint="eastAsia" w:ascii="宋体" w:hAnsi="宋体" w:eastAsia="宋体" w:cs="宋体"/>
          <w:sz w:val="22"/>
          <w:szCs w:val="22"/>
          <w:highlight w:val="none"/>
          <w:lang w:val="en-US" w:eastAsia="zh-CN" w:bidi="ar"/>
        </w:rPr>
        <w:t>2）</w:t>
      </w:r>
      <w:r>
        <w:rPr>
          <w:rFonts w:hint="eastAsia" w:ascii="宋体" w:hAnsi="宋体" w:eastAsia="宋体" w:cs="宋体"/>
          <w:sz w:val="22"/>
          <w:szCs w:val="22"/>
          <w:highlight w:val="none"/>
          <w:lang w:bidi="ar"/>
        </w:rPr>
        <w:t>软件操作及功能</w:t>
      </w:r>
    </w:p>
    <w:p>
      <w:pPr>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bidi="ar"/>
        </w:rPr>
        <w:t>1）键盘操作W/S/A/D按键为前/后/左/右移动视角或者人物走动；鼠标滑轮向前、向后可以改变镜头的距离。</w:t>
      </w:r>
    </w:p>
    <w:p>
      <w:pPr>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bidi="ar"/>
        </w:rPr>
        <w:t>2）鼠标左键：</w:t>
      </w:r>
    </w:p>
    <w:p>
      <w:pPr>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bidi="ar"/>
        </w:rPr>
        <w:t>选择正确答案，确认选项。</w:t>
      </w:r>
    </w:p>
    <w:p>
      <w:pPr>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bidi="ar"/>
        </w:rPr>
        <w:t>点击语音喇叭播放已经录好的语音条。</w:t>
      </w:r>
    </w:p>
    <w:p>
      <w:pPr>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bidi="ar"/>
        </w:rPr>
        <w:t>点击高亮物体或者受伤尾部可以查看图片、播放视频、进行伤口处理、使用担架等。</w:t>
      </w:r>
    </w:p>
    <w:p>
      <w:pPr>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bidi="ar"/>
        </w:rPr>
        <w:t>3）鼠标右键：</w:t>
      </w:r>
    </w:p>
    <w:p>
      <w:pPr>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bidi="ar"/>
        </w:rPr>
        <w:t>右键菜单可以选择“进行心肺复苏”、“转移至医院”、“需要护送”、“使用担架”。</w:t>
      </w:r>
    </w:p>
    <w:p>
      <w:pPr>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bidi="ar"/>
        </w:rPr>
        <w:t>视角旋转：长按住鼠标右键，左右滑动鼠标可以进行360°旋转。</w:t>
      </w:r>
    </w:p>
    <w:p>
      <w:pPr>
        <w:pStyle w:val="11"/>
        <w:adjustRightInd/>
        <w:snapToGrid/>
        <w:rPr>
          <w:rFonts w:hint="eastAsia" w:ascii="宋体" w:hAnsi="宋体" w:eastAsia="宋体" w:cs="宋体"/>
          <w:b/>
          <w:bCs/>
          <w:sz w:val="22"/>
          <w:szCs w:val="22"/>
          <w:highlight w:val="none"/>
        </w:rPr>
      </w:pPr>
      <w:r>
        <w:rPr>
          <w:rFonts w:hint="eastAsia" w:ascii="宋体" w:hAnsi="宋体" w:eastAsia="宋体" w:cs="宋体"/>
          <w:b/>
          <w:bCs/>
          <w:sz w:val="22"/>
          <w:szCs w:val="22"/>
          <w:highlight w:val="none"/>
          <w:lang w:val="en-US" w:eastAsia="zh-CN"/>
        </w:rPr>
        <w:t>2.2</w:t>
      </w:r>
      <w:r>
        <w:rPr>
          <w:rFonts w:hint="eastAsia" w:ascii="宋体" w:hAnsi="宋体" w:eastAsia="宋体" w:cs="宋体"/>
          <w:b/>
          <w:bCs/>
          <w:sz w:val="22"/>
          <w:szCs w:val="22"/>
          <w:highlight w:val="none"/>
        </w:rPr>
        <w:t>实验室安全知识教育</w:t>
      </w:r>
    </w:p>
    <w:p>
      <w:pPr>
        <w:pStyle w:val="19"/>
        <w:spacing w:before="0" w:beforeAutospacing="0" w:after="0" w:afterAutospacing="0"/>
        <w:rPr>
          <w:rFonts w:eastAsia="宋体"/>
          <w:sz w:val="22"/>
          <w:szCs w:val="22"/>
          <w:highlight w:val="none"/>
          <w:lang w:bidi="ar"/>
        </w:rPr>
      </w:pPr>
      <w:r>
        <w:rPr>
          <w:rFonts w:hint="eastAsia" w:eastAsia="宋体"/>
          <w:sz w:val="22"/>
          <w:szCs w:val="22"/>
          <w:highlight w:val="none"/>
          <w:lang w:val="en-US" w:eastAsia="zh-CN" w:bidi="ar"/>
        </w:rPr>
        <w:t>2.2.1</w:t>
      </w:r>
      <w:r>
        <w:rPr>
          <w:rFonts w:hint="eastAsia" w:eastAsia="宋体"/>
          <w:sz w:val="22"/>
          <w:szCs w:val="22"/>
          <w:highlight w:val="none"/>
          <w:lang w:bidi="ar"/>
        </w:rPr>
        <w:t>化工原理实验室安全模块</w:t>
      </w:r>
    </w:p>
    <w:p>
      <w:pPr>
        <w:widowControl/>
        <w:jc w:val="both"/>
        <w:rPr>
          <w:rFonts w:ascii="宋体" w:hAnsi="宋体" w:eastAsia="宋体" w:cs="Times New Roman"/>
          <w:kern w:val="0"/>
          <w:sz w:val="22"/>
          <w:szCs w:val="22"/>
          <w:highlight w:val="none"/>
          <w:lang w:eastAsia="zh-Hans"/>
        </w:rPr>
      </w:pPr>
      <w:r>
        <w:rPr>
          <w:rFonts w:ascii="宋体" w:hAnsi="宋体" w:eastAsia="宋体" w:cs="宋体"/>
          <w:b/>
          <w:kern w:val="0"/>
          <w:sz w:val="22"/>
          <w:szCs w:val="22"/>
          <w:highlight w:val="none"/>
          <w:lang w:eastAsia="zh-Hans"/>
        </w:rPr>
        <w:t>[指标项</w:t>
      </w:r>
      <w:r>
        <w:rPr>
          <w:rFonts w:hint="eastAsia" w:ascii="宋体" w:hAnsi="宋体" w:eastAsia="宋体" w:cs="宋体"/>
          <w:b/>
          <w:kern w:val="0"/>
          <w:sz w:val="22"/>
          <w:szCs w:val="22"/>
          <w:highlight w:val="none"/>
          <w:lang w:val="en-US" w:eastAsia="zh-CN"/>
        </w:rPr>
        <w:t>33</w:t>
      </w:r>
      <w:r>
        <w:rPr>
          <w:rFonts w:ascii="宋体" w:hAnsi="宋体" w:eastAsia="宋体" w:cs="宋体"/>
          <w:b/>
          <w:kern w:val="0"/>
          <w:sz w:val="22"/>
          <w:szCs w:val="22"/>
          <w:highlight w:val="none"/>
          <w:lang w:eastAsia="zh-Hans"/>
        </w:rPr>
        <w:t>]</w:t>
      </w:r>
    </w:p>
    <w:p>
      <w:pPr>
        <w:rPr>
          <w:rFonts w:ascii="宋体" w:hAnsi="宋体" w:eastAsia="宋体" w:cs="宋体"/>
          <w:sz w:val="22"/>
          <w:szCs w:val="22"/>
          <w:highlight w:val="none"/>
        </w:rPr>
      </w:pPr>
      <w:r>
        <w:rPr>
          <w:rFonts w:hint="eastAsia" w:ascii="宋体" w:hAnsi="宋体" w:eastAsia="宋体" w:cs="宋体"/>
          <w:sz w:val="22"/>
          <w:szCs w:val="22"/>
          <w:highlight w:val="none"/>
        </w:rPr>
        <w:t>化工原理实验室安全软件模拟的场景为一个大型的化工实验室，内有八台化工原理相关实验设备以及相关辅助设施。内容包括对自身所处环境的确认、实验室安全隐患的排查、实验中紧急情况的应对三个模块。</w:t>
      </w:r>
    </w:p>
    <w:p>
      <w:pPr>
        <w:rPr>
          <w:rFonts w:ascii="宋体" w:hAnsi="宋体" w:eastAsia="宋体" w:cs="宋体"/>
          <w:sz w:val="22"/>
          <w:szCs w:val="22"/>
          <w:highlight w:val="none"/>
        </w:rPr>
      </w:pP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确认自身所处的环境</w:t>
      </w:r>
    </w:p>
    <w:p>
      <w:pPr>
        <w:rPr>
          <w:rFonts w:ascii="宋体" w:hAnsi="宋体" w:eastAsia="宋体" w:cs="宋体"/>
          <w:sz w:val="22"/>
          <w:szCs w:val="22"/>
          <w:highlight w:val="none"/>
        </w:rPr>
      </w:pPr>
      <w:r>
        <w:rPr>
          <w:rFonts w:hint="eastAsia" w:ascii="宋体" w:hAnsi="宋体" w:eastAsia="宋体" w:cs="宋体"/>
          <w:sz w:val="22"/>
          <w:szCs w:val="22"/>
          <w:highlight w:val="none"/>
        </w:rPr>
        <w:t>进行实验室大环境的熟悉，包括：确认自己在实验楼的位置，确认安全出口、急救药箱、灭火器、灭火毯以及紧急喷淋洗眼器的位置。</w:t>
      </w:r>
    </w:p>
    <w:p>
      <w:pPr>
        <w:rPr>
          <w:rFonts w:ascii="宋体" w:hAnsi="宋体" w:eastAsia="宋体" w:cs="宋体"/>
          <w:sz w:val="22"/>
          <w:szCs w:val="22"/>
          <w:highlight w:val="none"/>
        </w:rPr>
      </w:pP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实验室安全隐患的排查</w:t>
      </w:r>
    </w:p>
    <w:p>
      <w:pPr>
        <w:rPr>
          <w:rFonts w:ascii="宋体" w:hAnsi="宋体" w:eastAsia="宋体" w:cs="宋体"/>
          <w:sz w:val="22"/>
          <w:szCs w:val="22"/>
          <w:highlight w:val="none"/>
        </w:rPr>
      </w:pPr>
      <w:r>
        <w:rPr>
          <w:rFonts w:hint="eastAsia" w:ascii="宋体" w:hAnsi="宋体" w:eastAsia="宋体" w:cs="宋体"/>
          <w:sz w:val="22"/>
          <w:szCs w:val="22"/>
          <w:highlight w:val="none"/>
        </w:rPr>
        <w:t>本模块设置了20种实验室常见的隐患点，例如：人员着装不合适、药品存储不合理、洞道干燥设备工作中未开风机、多台大功率电器共用插排、加热电源开启后，未开启空气控制阀等众多隐患。发现隐患后，将弹出对隐患的说明和正确处理方法。</w:t>
      </w:r>
    </w:p>
    <w:p>
      <w:pPr>
        <w:rPr>
          <w:rFonts w:ascii="宋体" w:hAnsi="宋体" w:eastAsia="宋体" w:cs="宋体"/>
          <w:sz w:val="22"/>
          <w:szCs w:val="22"/>
          <w:highlight w:val="none"/>
        </w:rPr>
      </w:pP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紧急事故处理</w:t>
      </w:r>
    </w:p>
    <w:p>
      <w:pPr>
        <w:rPr>
          <w:rFonts w:hint="eastAsia" w:ascii="宋体" w:hAnsi="宋体" w:eastAsia="宋体" w:cs="宋体"/>
          <w:sz w:val="22"/>
          <w:szCs w:val="22"/>
          <w:highlight w:val="none"/>
        </w:rPr>
      </w:pPr>
      <w:r>
        <w:rPr>
          <w:rFonts w:hint="eastAsia" w:ascii="宋体" w:hAnsi="宋体" w:eastAsia="宋体" w:cs="宋体"/>
          <w:sz w:val="22"/>
          <w:szCs w:val="22"/>
          <w:highlight w:val="none"/>
        </w:rPr>
        <w:t>这一模块主要针对实验过程中已发生安全事故的应急处理以及逃生方法练习。在此模拟条件下，有警铃火焰浓烟等特效出现，要求操作者要在规定时间内，迅速做出应对反应。例如：面对电器火灾时迅速切断电源，灭火毯和灭火器的正确使用以及正确的逃生和自我保护等。</w:t>
      </w:r>
    </w:p>
    <w:p>
      <w:pPr>
        <w:pStyle w:val="2"/>
        <w:rPr>
          <w:highlight w:val="none"/>
        </w:rPr>
      </w:pPr>
    </w:p>
    <w:p>
      <w:pPr>
        <w:pStyle w:val="19"/>
        <w:spacing w:before="0" w:beforeAutospacing="0" w:after="0" w:afterAutospacing="0"/>
        <w:rPr>
          <w:rFonts w:eastAsia="宋体"/>
          <w:sz w:val="22"/>
          <w:szCs w:val="22"/>
          <w:highlight w:val="none"/>
          <w:lang w:bidi="ar"/>
        </w:rPr>
      </w:pPr>
      <w:r>
        <w:rPr>
          <w:rFonts w:hint="eastAsia" w:eastAsia="宋体"/>
          <w:sz w:val="22"/>
          <w:szCs w:val="22"/>
          <w:highlight w:val="none"/>
          <w:lang w:val="en-US" w:eastAsia="zh-CN" w:bidi="ar"/>
        </w:rPr>
        <w:t>2.2.2</w:t>
      </w:r>
      <w:r>
        <w:rPr>
          <w:rFonts w:hint="eastAsia" w:eastAsia="宋体"/>
          <w:sz w:val="22"/>
          <w:szCs w:val="22"/>
          <w:highlight w:val="none"/>
          <w:lang w:bidi="ar"/>
        </w:rPr>
        <w:t>无机化学实验室安全模块</w:t>
      </w:r>
    </w:p>
    <w:p>
      <w:pPr>
        <w:widowControl/>
        <w:jc w:val="both"/>
        <w:rPr>
          <w:rFonts w:ascii="宋体" w:hAnsi="宋体" w:eastAsia="宋体" w:cs="Times New Roman"/>
          <w:kern w:val="0"/>
          <w:sz w:val="22"/>
          <w:szCs w:val="22"/>
          <w:highlight w:val="none"/>
          <w:lang w:eastAsia="zh-Hans"/>
        </w:rPr>
      </w:pPr>
      <w:r>
        <w:rPr>
          <w:rFonts w:ascii="宋体" w:hAnsi="宋体" w:eastAsia="宋体" w:cs="宋体"/>
          <w:b/>
          <w:kern w:val="0"/>
          <w:sz w:val="22"/>
          <w:szCs w:val="22"/>
          <w:highlight w:val="none"/>
          <w:lang w:eastAsia="zh-Hans"/>
        </w:rPr>
        <w:t>[指标项</w:t>
      </w:r>
      <w:r>
        <w:rPr>
          <w:rFonts w:hint="eastAsia" w:ascii="宋体" w:hAnsi="宋体" w:eastAsia="宋体" w:cs="宋体"/>
          <w:b/>
          <w:kern w:val="0"/>
          <w:sz w:val="22"/>
          <w:szCs w:val="22"/>
          <w:highlight w:val="none"/>
          <w:lang w:val="en-US" w:eastAsia="zh-CN"/>
        </w:rPr>
        <w:t>34</w:t>
      </w:r>
      <w:r>
        <w:rPr>
          <w:rFonts w:ascii="宋体" w:hAnsi="宋体" w:eastAsia="宋体" w:cs="宋体"/>
          <w:b/>
          <w:kern w:val="0"/>
          <w:sz w:val="22"/>
          <w:szCs w:val="22"/>
          <w:highlight w:val="none"/>
          <w:lang w:eastAsia="zh-Hans"/>
        </w:rPr>
        <w:t>]</w:t>
      </w:r>
    </w:p>
    <w:p>
      <w:pPr>
        <w:rPr>
          <w:rFonts w:ascii="宋体" w:hAnsi="宋体" w:eastAsia="宋体" w:cs="宋体"/>
          <w:sz w:val="22"/>
          <w:szCs w:val="22"/>
          <w:highlight w:val="none"/>
        </w:rPr>
      </w:pPr>
      <w:r>
        <w:rPr>
          <w:rFonts w:hint="eastAsia" w:ascii="宋体" w:hAnsi="宋体" w:eastAsia="宋体" w:cs="宋体"/>
          <w:sz w:val="22"/>
          <w:szCs w:val="22"/>
          <w:highlight w:val="none"/>
        </w:rPr>
        <w:t>本软件专注无机化学实验室的安全教育与操作训练，通过三维虚拟仿真形式，模拟无机化学实验室的真实环境，可以帮助学生全面了解无机化学实验室的安全规范与操作流程。软件涵盖了无机实验室常见的安全隐患排查、药品管理与分类、实验废弃物处置等多个模块。</w:t>
      </w:r>
    </w:p>
    <w:p>
      <w:pPr>
        <w:rPr>
          <w:rFonts w:ascii="宋体" w:hAnsi="宋体" w:eastAsia="宋体" w:cs="宋体"/>
          <w:sz w:val="22"/>
          <w:szCs w:val="22"/>
          <w:highlight w:val="none"/>
        </w:rPr>
      </w:pPr>
      <w:r>
        <w:rPr>
          <w:rFonts w:hint="eastAsia" w:ascii="宋体" w:hAnsi="宋体" w:eastAsia="宋体" w:cs="宋体"/>
          <w:sz w:val="22"/>
          <w:szCs w:val="22"/>
          <w:highlight w:val="none"/>
        </w:rPr>
        <w:t>软件特别引入了吉祥物角色，在每一步操作中，吉祥物将以声音形式为操作者提供提示，详细描述操作方法和下一步任务，使学习过程更加生动有趣。</w:t>
      </w:r>
    </w:p>
    <w:p>
      <w:pPr>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val="en-US" w:eastAsia="zh-CN" w:bidi="ar"/>
        </w:rPr>
        <w:t>（1）</w:t>
      </w:r>
      <w:r>
        <w:rPr>
          <w:rFonts w:hint="eastAsia" w:ascii="宋体" w:hAnsi="宋体" w:eastAsia="宋体" w:cs="宋体"/>
          <w:sz w:val="22"/>
          <w:szCs w:val="22"/>
          <w:highlight w:val="none"/>
          <w:lang w:bidi="ar"/>
        </w:rPr>
        <w:t>隐患排查模块</w:t>
      </w:r>
    </w:p>
    <w:p>
      <w:pPr>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bidi="ar"/>
        </w:rPr>
        <w:t>进入软件后将自动进入隐患排查模块，该模块模拟了无机化学实验室的真实环境，学生可通过鼠标自主选择视角，在虚拟实验室中漫游，寻找并识别潜在的安全隐患。风险点包括但不限于：进入实验室的学生未做好个人防护、通风设备未开启、食物带入实验室、个人物品随意放置等。若用户无法将所有隐患全部找到时，吉祥物将带领用户前往隐患位置，指明隐患并讲解该隐患可能会导致的事故。学生将了解软件中的全部隐患并完成认知学习。</w:t>
      </w:r>
    </w:p>
    <w:p>
      <w:pPr>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bidi="ar"/>
        </w:rPr>
        <w:t>包含以下内容：</w:t>
      </w:r>
    </w:p>
    <w:p>
      <w:pPr>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bidi="ar"/>
        </w:rPr>
        <w:t>在实验室巡查过程中，可以用手机端对实验室隐患情况进行拍照并上传，添加为隐患点，描述隐患状况，对隐患进行分级，并对隐患点进行分类（分类标准依据教育部颁发的《高校教学实验室安全工作检查要点（2022版）》进行），在移动端查看安全督导台账。管理端可导出督导台账、巡查报告和整改通知。</w:t>
      </w:r>
    </w:p>
    <w:p>
      <w:pPr>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val="en-US" w:eastAsia="zh-CN" w:bidi="ar"/>
        </w:rPr>
        <w:t>（2）</w:t>
      </w:r>
      <w:r>
        <w:rPr>
          <w:rFonts w:hint="eastAsia" w:ascii="宋体" w:hAnsi="宋体" w:eastAsia="宋体" w:cs="宋体"/>
          <w:sz w:val="22"/>
          <w:szCs w:val="22"/>
          <w:highlight w:val="none"/>
          <w:lang w:bidi="ar"/>
        </w:rPr>
        <w:t>药品分类模块</w:t>
      </w:r>
    </w:p>
    <w:p>
      <w:pPr>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bidi="ar"/>
        </w:rPr>
        <w:t>进入药品分类模块后首先介绍MSDS（物质安全数据表）的功能与查询方法，并且实时提供MSDS的查询功能，辅助学生了解药品的安全信息，让学生养成使用药品前先查询MSDS、了解药品特性的习惯。软件中包含了二十多种实验室常见的无机化学药品，如氢氧化钠、高锰酸钾、盐酸、甲苯等，并根据其性质将其细致地分为六个类别。用户可以通过鼠标右键菜单一边查询药品MSDS详细信息，一边进行药品地分类。提交分类后，软件将立即给出反馈，并在分类错误时提供正确答案，同时结合评分系统记录学生的学习成绩。</w:t>
      </w:r>
    </w:p>
    <w:p>
      <w:pPr>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val="en-US" w:eastAsia="zh-CN" w:bidi="ar"/>
        </w:rPr>
        <w:t>（3）</w:t>
      </w:r>
      <w:r>
        <w:rPr>
          <w:rFonts w:hint="eastAsia" w:ascii="宋体" w:hAnsi="宋体" w:eastAsia="宋体" w:cs="宋体"/>
          <w:sz w:val="22"/>
          <w:szCs w:val="22"/>
          <w:highlight w:val="none"/>
          <w:lang w:bidi="ar"/>
        </w:rPr>
        <w:t>实验废弃物分类模块</w:t>
      </w:r>
    </w:p>
    <w:p>
      <w:pPr>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bidi="ar"/>
        </w:rPr>
        <w:t>本模块专注于实验废弃物的分类与处置，模拟了通风橱中实验产生的废弃物场景，包括废称量纸、破碎的量筒、废乙醚等，用户需要依据《实验室危险废物污染防治技术规范》的要求对废弃物进行分类，根据规范将废弃物细致分为九个类别。该模块旨在培养学生正确处置实验废弃物的意识和能力，牢记废液不乱倒并分类管理、固体垃圾单独收集、不与生活垃圾混合、废弃碎玻璃单独存放的要求。提交分类之后软件立即给出反馈，并对分类错误时给出正确答案。软件结合评分系统，记录学生在废弃物分类方面的学习成果。</w:t>
      </w:r>
    </w:p>
    <w:p>
      <w:pPr>
        <w:pStyle w:val="2"/>
        <w:rPr>
          <w:highlight w:val="none"/>
        </w:rPr>
      </w:pPr>
    </w:p>
    <w:p>
      <w:pPr>
        <w:pStyle w:val="5"/>
        <w:spacing w:line="240" w:lineRule="auto"/>
        <w:rPr>
          <w:rFonts w:ascii="宋体" w:hAnsi="宋体" w:eastAsia="宋体" w:cs="宋体"/>
          <w:b w:val="0"/>
          <w:bCs/>
          <w:sz w:val="22"/>
          <w:szCs w:val="22"/>
          <w:highlight w:val="none"/>
          <w:lang w:bidi="ar"/>
        </w:rPr>
      </w:pPr>
      <w:r>
        <w:rPr>
          <w:rFonts w:hint="eastAsia" w:ascii="宋体" w:hAnsi="宋体" w:eastAsia="宋体" w:cs="宋体"/>
          <w:b w:val="0"/>
          <w:bCs/>
          <w:sz w:val="22"/>
          <w:szCs w:val="22"/>
          <w:highlight w:val="none"/>
          <w:lang w:val="en-US" w:eastAsia="zh-CN" w:bidi="ar"/>
        </w:rPr>
        <w:t>2.2.3</w:t>
      </w:r>
      <w:r>
        <w:rPr>
          <w:rFonts w:hint="eastAsia" w:ascii="宋体" w:hAnsi="宋体" w:eastAsia="宋体" w:cs="宋体"/>
          <w:b w:val="0"/>
          <w:bCs/>
          <w:sz w:val="22"/>
          <w:szCs w:val="22"/>
          <w:highlight w:val="none"/>
          <w:lang w:bidi="ar"/>
        </w:rPr>
        <w:t>化学实验室风险评估与应急应变软件</w:t>
      </w:r>
    </w:p>
    <w:p>
      <w:pPr>
        <w:widowControl/>
        <w:jc w:val="both"/>
        <w:rPr>
          <w:rFonts w:ascii="宋体" w:hAnsi="宋体" w:eastAsia="宋体" w:cs="Times New Roman"/>
          <w:kern w:val="0"/>
          <w:sz w:val="22"/>
          <w:szCs w:val="22"/>
          <w:highlight w:val="none"/>
        </w:rPr>
      </w:pPr>
      <w:r>
        <w:rPr>
          <w:rFonts w:ascii="宋体" w:hAnsi="宋体" w:eastAsia="宋体" w:cs="宋体"/>
          <w:b/>
          <w:kern w:val="0"/>
          <w:sz w:val="22"/>
          <w:szCs w:val="22"/>
          <w:highlight w:val="none"/>
          <w:lang w:eastAsia="zh-Hans"/>
        </w:rPr>
        <w:t>[指标项</w:t>
      </w:r>
      <w:r>
        <w:rPr>
          <w:rFonts w:hint="eastAsia" w:ascii="宋体" w:hAnsi="宋体" w:eastAsia="宋体" w:cs="宋体"/>
          <w:b/>
          <w:kern w:val="0"/>
          <w:sz w:val="22"/>
          <w:szCs w:val="22"/>
          <w:highlight w:val="none"/>
          <w:lang w:val="en-US" w:eastAsia="zh-CN"/>
        </w:rPr>
        <w:t>35</w:t>
      </w:r>
      <w:r>
        <w:rPr>
          <w:rFonts w:ascii="宋体" w:hAnsi="宋体" w:eastAsia="宋体" w:cs="宋体"/>
          <w:b/>
          <w:kern w:val="0"/>
          <w:sz w:val="22"/>
          <w:szCs w:val="22"/>
          <w:highlight w:val="none"/>
          <w:lang w:eastAsia="zh-Hans"/>
        </w:rPr>
        <w:t>]</w:t>
      </w:r>
    </w:p>
    <w:p>
      <w:pPr>
        <w:rPr>
          <w:rFonts w:ascii="宋体" w:hAnsi="宋体" w:eastAsia="宋体" w:cs="宋体"/>
          <w:sz w:val="22"/>
          <w:szCs w:val="22"/>
          <w:highlight w:val="none"/>
        </w:rPr>
      </w:pPr>
      <w:r>
        <w:rPr>
          <w:rFonts w:hint="eastAsia" w:ascii="宋体" w:hAnsi="宋体" w:eastAsia="宋体" w:cs="宋体"/>
          <w:sz w:val="22"/>
          <w:szCs w:val="22"/>
          <w:highlight w:val="none"/>
        </w:rPr>
        <w:t>化学实验室风险评估与应急应变软件包括实验室基本认知，实验室风险识别，实验室基本操作，应急应变四大方向13个不同实验场景，基本涵盖了实验室安全的所有方面，是学生进入实验前进行安全第一课学习的最佳辅助材料。</w:t>
      </w:r>
    </w:p>
    <w:p>
      <w:pPr>
        <w:rPr>
          <w:rFonts w:ascii="宋体" w:hAnsi="宋体" w:eastAsia="宋体" w:cs="宋体"/>
          <w:sz w:val="22"/>
          <w:szCs w:val="22"/>
          <w:highlight w:val="none"/>
        </w:rPr>
      </w:pPr>
      <w:r>
        <w:rPr>
          <w:rFonts w:hint="eastAsia" w:ascii="宋体" w:hAnsi="宋体" w:eastAsia="宋体" w:cs="宋体"/>
          <w:sz w:val="22"/>
          <w:szCs w:val="22"/>
          <w:highlight w:val="none"/>
        </w:rPr>
        <w:t>软件13个有交互操作的场景分别有评分，评分可自定义权重，最终折合成百分制得分。</w:t>
      </w:r>
    </w:p>
    <w:p>
      <w:pPr>
        <w:rPr>
          <w:rFonts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基本认知模块：对不同功能区进行了解，点击特定的分区进入具体场景。理化试验室主要包括实验室走廊内设施设备认知，更衣室设施设备认知，主实验区域设施设备认知，药品室设施设备认知，休息室讲解认知以及表征室设施设备认知等。</w:t>
      </w:r>
    </w:p>
    <w:p>
      <w:pPr>
        <w:pStyle w:val="2"/>
        <w:rPr>
          <w:sz w:val="22"/>
          <w:szCs w:val="22"/>
          <w:highlight w:val="none"/>
        </w:rPr>
      </w:pPr>
      <w:r>
        <w:rPr>
          <w:rFonts w:hint="eastAsia"/>
          <w:sz w:val="22"/>
          <w:szCs w:val="22"/>
          <w:highlight w:val="none"/>
          <w:lang w:eastAsia="zh-CN" w:bidi="ar"/>
        </w:rPr>
        <w:t>（</w:t>
      </w:r>
      <w:r>
        <w:rPr>
          <w:rFonts w:hint="eastAsia"/>
          <w:sz w:val="22"/>
          <w:szCs w:val="22"/>
          <w:highlight w:val="none"/>
          <w:lang w:val="en-US" w:eastAsia="zh-CN" w:bidi="ar"/>
        </w:rPr>
        <w:t>2）</w:t>
      </w:r>
      <w:r>
        <w:rPr>
          <w:rFonts w:hint="eastAsia"/>
          <w:sz w:val="22"/>
          <w:szCs w:val="22"/>
          <w:highlight w:val="none"/>
          <w:lang w:bidi="ar"/>
        </w:rPr>
        <w:t>风险识别模块：为了保证安全,实验人员在实验前必须熟悉实验内容、操作步骤、实验试剂性质和可能存在的危害性，以及各类仪器的性能，明确操作规程。还需特别注意实验室守则及仪器设备的按规使用，经常对实验室进行排查，发现不合适现象及时纠正。本模块采用找茬模式去发现实验室存在的安全隐患，并讲解解决办法。分为药品室隐患排查/气瓶室隐患排查/主场景隐患排查以及休息室隐患排查。</w:t>
      </w:r>
    </w:p>
    <w:p>
      <w:pPr>
        <w:rPr>
          <w:rFonts w:ascii="宋体" w:hAnsi="宋体" w:eastAsia="宋体" w:cs="宋体"/>
          <w:sz w:val="22"/>
          <w:szCs w:val="22"/>
          <w:highlight w:val="none"/>
          <w:lang w:bidi="ar"/>
        </w:rPr>
      </w:pPr>
      <w:r>
        <w:rPr>
          <w:rFonts w:hint="eastAsia" w:ascii="宋体" w:hAnsi="宋体" w:eastAsia="宋体" w:cs="宋体"/>
          <w:sz w:val="22"/>
          <w:szCs w:val="22"/>
          <w:highlight w:val="none"/>
          <w:lang w:eastAsia="zh-CN" w:bidi="ar"/>
        </w:rPr>
        <w:t>（</w:t>
      </w:r>
      <w:r>
        <w:rPr>
          <w:rFonts w:hint="eastAsia" w:ascii="宋体" w:hAnsi="宋体" w:eastAsia="宋体" w:cs="宋体"/>
          <w:sz w:val="22"/>
          <w:szCs w:val="22"/>
          <w:highlight w:val="none"/>
          <w:lang w:val="en-US" w:eastAsia="zh-CN" w:bidi="ar"/>
        </w:rPr>
        <w:t>3）</w:t>
      </w:r>
      <w:r>
        <w:rPr>
          <w:rFonts w:hint="eastAsia" w:ascii="宋体" w:hAnsi="宋体" w:eastAsia="宋体" w:cs="宋体"/>
          <w:sz w:val="22"/>
          <w:szCs w:val="22"/>
          <w:highlight w:val="none"/>
          <w:lang w:bidi="ar"/>
        </w:rPr>
        <w:t>化学品识别与分类处理模块，这一块主要包含常用化学品的分类与存储，实验室三废的处理。</w:t>
      </w:r>
    </w:p>
    <w:p>
      <w:pPr>
        <w:widowControl/>
        <w:jc w:val="both"/>
        <w:rPr>
          <w:rFonts w:ascii="宋体" w:hAnsi="宋体" w:eastAsia="宋体" w:cs="Times New Roman"/>
          <w:kern w:val="0"/>
          <w:sz w:val="22"/>
          <w:szCs w:val="22"/>
          <w:highlight w:val="none"/>
        </w:rPr>
      </w:pPr>
      <w:r>
        <w:rPr>
          <w:rFonts w:ascii="宋体" w:hAnsi="宋体" w:eastAsia="宋体" w:cs="宋体"/>
          <w:b/>
          <w:kern w:val="0"/>
          <w:sz w:val="22"/>
          <w:szCs w:val="22"/>
          <w:highlight w:val="none"/>
          <w:lang w:eastAsia="zh-Hans"/>
        </w:rPr>
        <w:t>[指标项</w:t>
      </w:r>
      <w:r>
        <w:rPr>
          <w:rFonts w:hint="eastAsia" w:ascii="宋体" w:hAnsi="宋体" w:eastAsia="宋体" w:cs="宋体"/>
          <w:b/>
          <w:kern w:val="0"/>
          <w:sz w:val="22"/>
          <w:szCs w:val="22"/>
          <w:highlight w:val="none"/>
          <w:lang w:val="en-US" w:eastAsia="zh-CN"/>
        </w:rPr>
        <w:t>36</w:t>
      </w:r>
      <w:r>
        <w:rPr>
          <w:rFonts w:ascii="宋体" w:hAnsi="宋体" w:eastAsia="宋体" w:cs="宋体"/>
          <w:b/>
          <w:kern w:val="0"/>
          <w:sz w:val="22"/>
          <w:szCs w:val="22"/>
          <w:highlight w:val="none"/>
          <w:lang w:eastAsia="zh-Hans"/>
        </w:rPr>
        <w:t>]</w:t>
      </w:r>
    </w:p>
    <w:p>
      <w:pPr>
        <w:pStyle w:val="2"/>
        <w:rPr>
          <w:b/>
          <w:bCs/>
          <w:sz w:val="22"/>
          <w:szCs w:val="22"/>
          <w:highlight w:val="none"/>
          <w:lang w:bidi="ar"/>
        </w:rPr>
      </w:pPr>
      <w:r>
        <w:rPr>
          <w:rFonts w:hint="eastAsia" w:asciiTheme="minorEastAsia" w:hAnsiTheme="minorEastAsia" w:eastAsiaTheme="minorEastAsia" w:cstheme="minorEastAsia"/>
          <w:b/>
          <w:bCs/>
          <w:sz w:val="22"/>
          <w:szCs w:val="22"/>
          <w:highlight w:val="none"/>
        </w:rPr>
        <w:t>▲</w:t>
      </w:r>
      <w:r>
        <w:rPr>
          <w:rFonts w:hint="eastAsia"/>
          <w:sz w:val="22"/>
          <w:szCs w:val="22"/>
          <w:highlight w:val="none"/>
          <w:lang w:eastAsia="zh-CN" w:bidi="ar"/>
        </w:rPr>
        <w:t>（</w:t>
      </w:r>
      <w:r>
        <w:rPr>
          <w:rFonts w:hint="eastAsia"/>
          <w:sz w:val="22"/>
          <w:szCs w:val="22"/>
          <w:highlight w:val="none"/>
          <w:lang w:val="en-US" w:eastAsia="zh-CN" w:bidi="ar"/>
        </w:rPr>
        <w:t>4）</w:t>
      </w:r>
      <w:r>
        <w:rPr>
          <w:rFonts w:hint="eastAsia"/>
          <w:sz w:val="22"/>
          <w:szCs w:val="22"/>
          <w:highlight w:val="none"/>
          <w:lang w:bidi="ar"/>
        </w:rPr>
        <w:t>应急应变模块  主要培训学生对常见的事故应急处理的基本技能。主要包括实验室火灾事故应急处置以及化学品洒出应急处理。以增强学生对启动和响应学校实验室专项应急预案的能力，向学生传递实验室应急应变中风险识别，快速获取实验室危险源信息以及处置事故中保持信息沟通的重要性。</w:t>
      </w:r>
      <w:r>
        <w:rPr>
          <w:rFonts w:hint="eastAsia"/>
          <w:b/>
          <w:bCs/>
          <w:sz w:val="22"/>
          <w:szCs w:val="22"/>
          <w:highlight w:val="none"/>
        </w:rPr>
        <w:t>（为保证软件质量及教学效果，此项需提供功能截图）</w:t>
      </w:r>
    </w:p>
    <w:p>
      <w:pPr>
        <w:widowControl/>
        <w:jc w:val="both"/>
        <w:rPr>
          <w:rFonts w:ascii="宋体" w:hAnsi="宋体" w:eastAsia="宋体" w:cs="Times New Roman"/>
          <w:kern w:val="0"/>
          <w:sz w:val="22"/>
          <w:szCs w:val="22"/>
          <w:highlight w:val="none"/>
          <w:lang w:eastAsia="zh-Hans"/>
        </w:rPr>
      </w:pPr>
      <w:r>
        <w:rPr>
          <w:rFonts w:ascii="宋体" w:hAnsi="宋体" w:eastAsia="宋体" w:cs="宋体"/>
          <w:b/>
          <w:kern w:val="0"/>
          <w:sz w:val="22"/>
          <w:szCs w:val="22"/>
          <w:highlight w:val="none"/>
          <w:lang w:eastAsia="zh-Hans"/>
        </w:rPr>
        <w:t>[指标项</w:t>
      </w:r>
      <w:r>
        <w:rPr>
          <w:rFonts w:hint="eastAsia" w:ascii="宋体" w:hAnsi="宋体" w:eastAsia="宋体" w:cs="宋体"/>
          <w:b/>
          <w:kern w:val="0"/>
          <w:sz w:val="22"/>
          <w:szCs w:val="22"/>
          <w:highlight w:val="none"/>
          <w:lang w:val="en-US" w:eastAsia="zh-CN"/>
        </w:rPr>
        <w:t>37</w:t>
      </w:r>
      <w:r>
        <w:rPr>
          <w:rFonts w:ascii="宋体" w:hAnsi="宋体" w:eastAsia="宋体" w:cs="宋体"/>
          <w:b/>
          <w:kern w:val="0"/>
          <w:sz w:val="22"/>
          <w:szCs w:val="22"/>
          <w:highlight w:val="none"/>
          <w:lang w:eastAsia="zh-Hans"/>
        </w:rPr>
        <w:t>]</w:t>
      </w:r>
    </w:p>
    <w:p>
      <w:pPr>
        <w:pStyle w:val="19"/>
        <w:spacing w:before="0" w:beforeAutospacing="0" w:after="0" w:afterAutospacing="0"/>
        <w:rPr>
          <w:rFonts w:eastAsia="宋体"/>
          <w:sz w:val="22"/>
          <w:szCs w:val="22"/>
          <w:highlight w:val="none"/>
          <w:lang w:bidi="ar"/>
        </w:rPr>
      </w:pPr>
      <w:r>
        <w:rPr>
          <w:rFonts w:hint="eastAsia" w:eastAsia="宋体"/>
          <w:sz w:val="22"/>
          <w:szCs w:val="22"/>
          <w:highlight w:val="none"/>
          <w:lang w:eastAsia="zh-CN" w:bidi="ar"/>
        </w:rPr>
        <w:t>（</w:t>
      </w:r>
      <w:r>
        <w:rPr>
          <w:rFonts w:hint="eastAsia" w:eastAsia="宋体"/>
          <w:sz w:val="22"/>
          <w:szCs w:val="22"/>
          <w:highlight w:val="none"/>
          <w:lang w:val="en-US" w:eastAsia="zh-CN" w:bidi="ar"/>
        </w:rPr>
        <w:t>5）</w:t>
      </w:r>
      <w:r>
        <w:rPr>
          <w:rFonts w:hint="eastAsia" w:eastAsia="宋体"/>
          <w:sz w:val="22"/>
          <w:szCs w:val="22"/>
          <w:highlight w:val="none"/>
          <w:lang w:bidi="ar"/>
        </w:rPr>
        <w:t>手机端教学平台</w:t>
      </w:r>
    </w:p>
    <w:p>
      <w:pPr>
        <w:pStyle w:val="19"/>
        <w:spacing w:before="0" w:beforeAutospacing="0" w:after="0" w:afterAutospacing="0"/>
        <w:rPr>
          <w:rFonts w:eastAsia="宋体"/>
          <w:sz w:val="22"/>
          <w:szCs w:val="22"/>
          <w:highlight w:val="none"/>
          <w:lang w:bidi="ar"/>
        </w:rPr>
      </w:pPr>
      <w:r>
        <w:rPr>
          <w:rFonts w:hint="eastAsia" w:eastAsia="宋体"/>
          <w:sz w:val="22"/>
          <w:szCs w:val="22"/>
          <w:highlight w:val="none"/>
          <w:lang w:bidi="ar"/>
        </w:rPr>
        <w:t>1）学习查询：支持管理员查询管理机构内学员学习积分、每日一练、每周一测、每月一考、文章阅读学习数据，支持设置查询各级机构数据，学习积分、每日一练、文章阅读可按照日、周、月、年各时间单位查询自定义设置时间区间，支持搜索学员姓名查询学员数据。</w:t>
      </w:r>
    </w:p>
    <w:p>
      <w:pPr>
        <w:pStyle w:val="19"/>
        <w:spacing w:before="0" w:beforeAutospacing="0" w:after="0" w:afterAutospacing="0"/>
        <w:rPr>
          <w:rFonts w:eastAsia="宋体"/>
          <w:sz w:val="22"/>
          <w:szCs w:val="22"/>
          <w:highlight w:val="none"/>
          <w:lang w:bidi="ar"/>
        </w:rPr>
      </w:pPr>
      <w:r>
        <w:rPr>
          <w:rFonts w:hint="eastAsia" w:eastAsia="宋体"/>
          <w:sz w:val="22"/>
          <w:szCs w:val="22"/>
          <w:highlight w:val="none"/>
          <w:lang w:bidi="ar"/>
        </w:rPr>
        <w:t>2）学习统计：支持管理员查看管理机构内学员获得学分走势图，今日积分分布饼状图。每日一练、文章阅读可按日、周、月，每周一测按周，每月一考按月时间单位自定义设置时间区间，统计各模块学习数据走势图、各级子机构数据对比图。</w:t>
      </w:r>
    </w:p>
    <w:p>
      <w:pPr>
        <w:pStyle w:val="19"/>
        <w:spacing w:before="0" w:beforeAutospacing="0" w:after="0" w:afterAutospacing="0"/>
        <w:rPr>
          <w:rFonts w:eastAsia="宋体"/>
          <w:sz w:val="22"/>
          <w:szCs w:val="22"/>
          <w:highlight w:val="none"/>
          <w:lang w:bidi="ar"/>
        </w:rPr>
      </w:pPr>
      <w:r>
        <w:rPr>
          <w:rFonts w:hint="eastAsia" w:eastAsia="宋体"/>
          <w:sz w:val="22"/>
          <w:szCs w:val="22"/>
          <w:highlight w:val="none"/>
          <w:lang w:bidi="ar"/>
        </w:rPr>
        <w:t>3）考试分析：支持查看管理机构内考试数据分析，支持展示考试列表；考试名称、时长、可考次数、及格分数等考试基本信息，机构人数、考试人数、出勤率、平均分、及格人数、及格率数据，展示各得分区间人数分布，展示机构内考试成绩列表；支持设置查看各级机构考试分析数据库。</w:t>
      </w:r>
    </w:p>
    <w:p>
      <w:pPr>
        <w:widowControl/>
        <w:jc w:val="both"/>
        <w:rPr>
          <w:rFonts w:ascii="宋体" w:hAnsi="宋体" w:eastAsia="宋体" w:cs="Times New Roman"/>
          <w:kern w:val="0"/>
          <w:sz w:val="22"/>
          <w:szCs w:val="22"/>
          <w:highlight w:val="none"/>
          <w:lang w:eastAsia="zh-Hans"/>
        </w:rPr>
      </w:pPr>
      <w:r>
        <w:rPr>
          <w:rFonts w:ascii="宋体" w:hAnsi="宋体" w:eastAsia="宋体" w:cs="宋体"/>
          <w:b/>
          <w:kern w:val="0"/>
          <w:sz w:val="22"/>
          <w:szCs w:val="22"/>
          <w:highlight w:val="none"/>
          <w:lang w:eastAsia="zh-Hans"/>
        </w:rPr>
        <w:t>[指标项</w:t>
      </w:r>
      <w:r>
        <w:rPr>
          <w:rFonts w:hint="eastAsia" w:ascii="宋体" w:hAnsi="宋体" w:eastAsia="宋体" w:cs="宋体"/>
          <w:b/>
          <w:kern w:val="0"/>
          <w:sz w:val="22"/>
          <w:szCs w:val="22"/>
          <w:highlight w:val="none"/>
          <w:lang w:val="en-US" w:eastAsia="zh-CN"/>
        </w:rPr>
        <w:t>38</w:t>
      </w:r>
      <w:r>
        <w:rPr>
          <w:rFonts w:ascii="宋体" w:hAnsi="宋体" w:eastAsia="宋体" w:cs="宋体"/>
          <w:b/>
          <w:kern w:val="0"/>
          <w:sz w:val="22"/>
          <w:szCs w:val="22"/>
          <w:highlight w:val="none"/>
          <w:lang w:eastAsia="zh-Hans"/>
        </w:rPr>
        <w:t>]</w:t>
      </w:r>
    </w:p>
    <w:p>
      <w:pPr>
        <w:pStyle w:val="19"/>
        <w:spacing w:before="0" w:beforeAutospacing="0" w:after="0" w:afterAutospacing="0"/>
        <w:rPr>
          <w:rFonts w:eastAsia="宋体"/>
          <w:sz w:val="22"/>
          <w:szCs w:val="22"/>
          <w:highlight w:val="none"/>
          <w:lang w:bidi="ar"/>
        </w:rPr>
      </w:pPr>
      <w:r>
        <w:rPr>
          <w:rFonts w:hint="eastAsia" w:eastAsia="宋体"/>
          <w:sz w:val="22"/>
          <w:szCs w:val="22"/>
          <w:highlight w:val="none"/>
          <w:lang w:bidi="ar"/>
        </w:rPr>
        <w:t>4）管理模块：提供各模块学习数据查询，各模块学习数据统计图形化展示，各个考试成绩统计分析功能，实现快速掌握机构内学习情况。</w:t>
      </w:r>
    </w:p>
    <w:p>
      <w:pPr>
        <w:pStyle w:val="19"/>
        <w:spacing w:before="0" w:beforeAutospacing="0" w:after="0" w:afterAutospacing="0"/>
        <w:rPr>
          <w:rFonts w:eastAsia="宋体"/>
          <w:sz w:val="22"/>
          <w:szCs w:val="22"/>
          <w:highlight w:val="none"/>
          <w:lang w:bidi="ar"/>
        </w:rPr>
      </w:pPr>
      <w:r>
        <w:rPr>
          <w:rFonts w:hint="eastAsia" w:eastAsia="宋体"/>
          <w:sz w:val="22"/>
          <w:szCs w:val="22"/>
          <w:highlight w:val="none"/>
          <w:lang w:bidi="ar"/>
        </w:rPr>
        <w:t>5）资源学习库：库内包含至少50个可在线播放动画，内容为安全知识的使用培训，要求flash风格统一，每个flash都带有同一个标志性人物进行引导。</w:t>
      </w:r>
    </w:p>
    <w:p>
      <w:pPr>
        <w:pStyle w:val="19"/>
        <w:spacing w:before="0" w:beforeAutospacing="0" w:after="0" w:afterAutospacing="0"/>
        <w:rPr>
          <w:rFonts w:eastAsia="宋体"/>
          <w:sz w:val="22"/>
          <w:szCs w:val="22"/>
          <w:highlight w:val="none"/>
          <w:lang w:bidi="ar"/>
        </w:rPr>
      </w:pPr>
      <w:r>
        <w:rPr>
          <w:rFonts w:hint="eastAsia" w:eastAsia="宋体"/>
          <w:sz w:val="22"/>
          <w:szCs w:val="22"/>
          <w:highlight w:val="none"/>
          <w:lang w:bidi="ar"/>
        </w:rPr>
        <w:t xml:space="preserve">结合教学管理需求，须提供网络资源库管理软件著作权证书。 </w:t>
      </w:r>
    </w:p>
    <w:p>
      <w:pPr>
        <w:pStyle w:val="19"/>
        <w:numPr>
          <w:ilvl w:val="0"/>
          <w:numId w:val="4"/>
        </w:numPr>
        <w:spacing w:before="0" w:beforeAutospacing="0" w:after="0" w:afterAutospacing="0"/>
        <w:rPr>
          <w:rFonts w:hint="eastAsia" w:eastAsia="宋体"/>
          <w:sz w:val="22"/>
          <w:szCs w:val="22"/>
          <w:highlight w:val="none"/>
          <w:lang w:bidi="ar"/>
        </w:rPr>
      </w:pPr>
      <w:r>
        <w:rPr>
          <w:rFonts w:hint="eastAsia" w:eastAsia="宋体"/>
          <w:sz w:val="22"/>
          <w:szCs w:val="22"/>
          <w:highlight w:val="none"/>
          <w:lang w:bidi="ar"/>
        </w:rPr>
        <w:t>资源管理：用户可上传资源库，上传格式至少包含：视频flash、图片资源、PDF</w:t>
      </w:r>
      <w:r>
        <w:rPr>
          <w:rFonts w:hint="eastAsia" w:eastAsia="宋体"/>
          <w:sz w:val="22"/>
          <w:szCs w:val="22"/>
          <w:highlight w:val="none"/>
          <w:lang w:val="en-US" w:eastAsia="zh-CN" w:bidi="ar"/>
        </w:rPr>
        <w:t xml:space="preserve">                                                                                                                                                                                                                                                                                                                                                                                                                                                                                                                                                                                                                                                                                                                                                                                                                                                                                                                                                                                                                                                                                                                                                                                                                                                                                                                                                                                                                                                                                                                                                                                                                                                                                                                                                                                                                                                                                                                                                                     </w:t>
      </w:r>
      <w:r>
        <w:rPr>
          <w:rFonts w:hint="eastAsia" w:eastAsia="宋体"/>
          <w:sz w:val="22"/>
          <w:szCs w:val="22"/>
          <w:highlight w:val="none"/>
          <w:lang w:bidi="ar"/>
        </w:rPr>
        <w:t>资源。</w:t>
      </w:r>
    </w:p>
    <w:p>
      <w:pPr>
        <w:pStyle w:val="19"/>
        <w:numPr>
          <w:ilvl w:val="0"/>
          <w:numId w:val="0"/>
        </w:numPr>
        <w:spacing w:before="0" w:beforeAutospacing="0" w:after="0" w:afterAutospacing="0"/>
        <w:rPr>
          <w:rFonts w:hint="eastAsia" w:eastAsia="宋体"/>
          <w:sz w:val="22"/>
          <w:szCs w:val="22"/>
          <w:highlight w:val="none"/>
          <w:lang w:bidi="ar"/>
        </w:rPr>
      </w:pPr>
    </w:p>
    <w:p>
      <w:pPr>
        <w:pStyle w:val="19"/>
        <w:numPr>
          <w:ilvl w:val="0"/>
          <w:numId w:val="0"/>
        </w:numPr>
        <w:spacing w:before="0" w:beforeAutospacing="0" w:after="0" w:afterAutospacing="0"/>
        <w:rPr>
          <w:rFonts w:hint="eastAsia" w:eastAsia="宋体"/>
          <w:sz w:val="22"/>
          <w:szCs w:val="22"/>
          <w:highlight w:val="none"/>
          <w:lang w:bidi="ar"/>
        </w:rPr>
      </w:pPr>
    </w:p>
    <w:p>
      <w:pPr>
        <w:pStyle w:val="19"/>
        <w:spacing w:before="0" w:beforeAutospacing="0" w:after="0" w:afterAutospacing="0"/>
        <w:rPr>
          <w:rFonts w:hint="eastAsia" w:eastAsia="宋体"/>
          <w:b/>
          <w:bCs/>
          <w:sz w:val="22"/>
          <w:szCs w:val="22"/>
          <w:highlight w:val="none"/>
          <w:lang w:bidi="ar"/>
        </w:rPr>
      </w:pPr>
      <w:r>
        <w:rPr>
          <w:rFonts w:hint="eastAsia" w:eastAsia="宋体"/>
          <w:b/>
          <w:bCs/>
          <w:sz w:val="22"/>
          <w:szCs w:val="22"/>
          <w:highlight w:val="none"/>
          <w:lang w:val="en-US" w:eastAsia="zh-CN" w:bidi="ar"/>
        </w:rPr>
        <w:t>2.3</w:t>
      </w:r>
      <w:r>
        <w:rPr>
          <w:rFonts w:hint="eastAsia" w:eastAsia="宋体"/>
          <w:b/>
          <w:bCs/>
          <w:sz w:val="22"/>
          <w:szCs w:val="22"/>
          <w:highlight w:val="none"/>
          <w:lang w:bidi="ar"/>
        </w:rPr>
        <w:t>职业安全知识教育</w:t>
      </w:r>
    </w:p>
    <w:p>
      <w:pPr>
        <w:pStyle w:val="19"/>
        <w:spacing w:before="0" w:beforeAutospacing="0" w:after="0" w:afterAutospacing="0"/>
        <w:rPr>
          <w:rFonts w:hint="eastAsia" w:eastAsia="宋体"/>
          <w:sz w:val="22"/>
          <w:szCs w:val="22"/>
          <w:highlight w:val="none"/>
          <w:lang w:bidi="ar"/>
        </w:rPr>
      </w:pPr>
    </w:p>
    <w:p>
      <w:pPr>
        <w:widowControl/>
        <w:jc w:val="both"/>
        <w:rPr>
          <w:rFonts w:ascii="宋体" w:hAnsi="宋体" w:eastAsia="宋体" w:cs="Times New Roman"/>
          <w:kern w:val="0"/>
          <w:sz w:val="22"/>
          <w:szCs w:val="22"/>
          <w:highlight w:val="none"/>
          <w:lang w:eastAsia="zh-Hans"/>
        </w:rPr>
      </w:pPr>
      <w:r>
        <w:rPr>
          <w:rFonts w:ascii="宋体" w:hAnsi="宋体" w:eastAsia="宋体" w:cs="宋体"/>
          <w:b/>
          <w:kern w:val="0"/>
          <w:sz w:val="22"/>
          <w:szCs w:val="22"/>
          <w:highlight w:val="none"/>
          <w:lang w:eastAsia="zh-Hans"/>
        </w:rPr>
        <w:t>[指标项</w:t>
      </w:r>
      <w:r>
        <w:rPr>
          <w:rFonts w:hint="eastAsia" w:ascii="宋体" w:hAnsi="宋体" w:eastAsia="宋体" w:cs="宋体"/>
          <w:b/>
          <w:kern w:val="0"/>
          <w:sz w:val="22"/>
          <w:szCs w:val="22"/>
          <w:highlight w:val="none"/>
          <w:lang w:val="en-US" w:eastAsia="zh-CN"/>
        </w:rPr>
        <w:t>39</w:t>
      </w:r>
      <w:r>
        <w:rPr>
          <w:rFonts w:ascii="宋体" w:hAnsi="宋体" w:eastAsia="宋体" w:cs="宋体"/>
          <w:b/>
          <w:kern w:val="0"/>
          <w:sz w:val="22"/>
          <w:szCs w:val="22"/>
          <w:highlight w:val="none"/>
          <w:lang w:eastAsia="zh-Hans"/>
        </w:rPr>
        <w:t>]</w:t>
      </w:r>
    </w:p>
    <w:p>
      <w:pPr>
        <w:rPr>
          <w:rFonts w:ascii="宋体" w:hAnsi="宋体" w:eastAsia="宋体" w:cs="宋体"/>
          <w:sz w:val="22"/>
          <w:szCs w:val="22"/>
          <w:highlight w:val="none"/>
        </w:rPr>
      </w:pPr>
      <w:r>
        <w:rPr>
          <w:rFonts w:hint="eastAsia" w:ascii="宋体" w:hAnsi="宋体" w:eastAsia="宋体" w:cs="宋体"/>
          <w:sz w:val="22"/>
          <w:szCs w:val="22"/>
          <w:highlight w:val="none"/>
          <w:lang w:val="en-US" w:eastAsia="zh-CN"/>
        </w:rPr>
        <w:t>2.3.1</w:t>
      </w:r>
      <w:r>
        <w:rPr>
          <w:rFonts w:hint="eastAsia" w:ascii="宋体" w:hAnsi="宋体" w:eastAsia="宋体" w:cs="宋体"/>
          <w:sz w:val="22"/>
          <w:szCs w:val="22"/>
          <w:highlight w:val="none"/>
        </w:rPr>
        <w:t>危化品道路运输项目模块</w:t>
      </w:r>
    </w:p>
    <w:p>
      <w:pPr>
        <w:rPr>
          <w:rFonts w:ascii="宋体" w:hAnsi="宋体" w:eastAsia="宋体" w:cs="宋体"/>
          <w:sz w:val="22"/>
          <w:szCs w:val="22"/>
          <w:highlight w:val="none"/>
        </w:rPr>
      </w:pPr>
      <w:r>
        <w:rPr>
          <w:rFonts w:hint="eastAsia" w:ascii="宋体" w:hAnsi="宋体" w:eastAsia="宋体" w:cs="宋体"/>
          <w:sz w:val="22"/>
          <w:szCs w:val="22"/>
          <w:highlight w:val="none"/>
        </w:rPr>
        <w:t>危化品运输3D虚拟仿真软件模拟了真实的甲醇装卸区域及事故发生环境，设置常见的设备仪器、运输工具，构建一个沉浸式的甲醇储运环境场景。学员可以在实验室场景中自由移动，通过人机交互的形式模拟操作及事故处理过程。在学员进行操作时，场景与设备状态将实时动态调整，呈现出符合操作要求的现象，可以确保参数的有效性和准确性。软件分为安全知识学习、运输管理、异常情况处理三大模块。</w:t>
      </w:r>
    </w:p>
    <w:p>
      <w:pPr>
        <w:rPr>
          <w:rFonts w:ascii="宋体" w:hAnsi="宋体" w:eastAsia="宋体" w:cs="宋体"/>
          <w:sz w:val="22"/>
          <w:szCs w:val="22"/>
          <w:highlight w:val="none"/>
        </w:rPr>
      </w:pP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安全知识学习模块</w:t>
      </w:r>
    </w:p>
    <w:p>
      <w:pPr>
        <w:rPr>
          <w:rFonts w:ascii="宋体" w:hAnsi="宋体" w:eastAsia="宋体" w:cs="宋体"/>
          <w:sz w:val="22"/>
          <w:szCs w:val="22"/>
          <w:highlight w:val="none"/>
        </w:rPr>
      </w:pPr>
      <w:r>
        <w:rPr>
          <w:rFonts w:hint="eastAsia" w:ascii="宋体" w:hAnsi="宋体" w:eastAsia="宋体" w:cs="宋体"/>
          <w:sz w:val="22"/>
          <w:szCs w:val="22"/>
          <w:highlight w:val="none"/>
        </w:rPr>
        <w:t>学生在该模块可以学习道路运输法路法规、甲醇相关理论知识、危化品运输事故的应急处理方法、相关个人防护用品的应用以及急救知识。</w:t>
      </w:r>
    </w:p>
    <w:p>
      <w:pPr>
        <w:rPr>
          <w:rFonts w:ascii="宋体" w:hAnsi="宋体" w:eastAsia="宋体" w:cs="宋体"/>
          <w:sz w:val="22"/>
          <w:szCs w:val="22"/>
          <w:highlight w:val="none"/>
        </w:rPr>
      </w:pP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运输管理模块</w:t>
      </w:r>
    </w:p>
    <w:p>
      <w:pPr>
        <w:rPr>
          <w:rFonts w:ascii="宋体" w:hAnsi="宋体" w:eastAsia="宋体" w:cs="宋体"/>
          <w:sz w:val="22"/>
          <w:szCs w:val="22"/>
          <w:highlight w:val="none"/>
        </w:rPr>
      </w:pPr>
      <w:r>
        <w:rPr>
          <w:rFonts w:hint="eastAsia" w:ascii="宋体" w:hAnsi="宋体" w:eastAsia="宋体" w:cs="宋体"/>
          <w:sz w:val="22"/>
          <w:szCs w:val="22"/>
          <w:highlight w:val="none"/>
        </w:rPr>
        <w:t>本模块主要模拟道路运输任务的接收、分析、执行及检查等全过程。学员通过接收任务并进行分析，明确运输性质，为后续操作做好准备；提供运输资质的查询功能，帮助学员选择合适的车辆类型及储罐大小；车辆到达后的资质检查、承运人证件检查以及装卸前的环境与车辆性能检查；待装罐结束后，进行安全技术说明书、安全标签交接以及甲醇的危险性告知等环节，确保运输过程的安全与合规操作。可以提升学员对运输管理流程的熟悉程度与提高运输操作的安全性和效率。</w:t>
      </w:r>
    </w:p>
    <w:p>
      <w:pPr>
        <w:rPr>
          <w:rFonts w:ascii="宋体" w:hAnsi="宋体" w:eastAsia="宋体" w:cs="宋体"/>
          <w:sz w:val="22"/>
          <w:szCs w:val="22"/>
          <w:highlight w:val="none"/>
        </w:rPr>
      </w:pP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异常情况处理模块</w:t>
      </w:r>
    </w:p>
    <w:p>
      <w:pPr>
        <w:rPr>
          <w:rFonts w:ascii="宋体" w:hAnsi="宋体" w:eastAsia="宋体" w:cs="宋体"/>
          <w:sz w:val="22"/>
          <w:szCs w:val="22"/>
          <w:highlight w:val="none"/>
        </w:rPr>
      </w:pPr>
      <w:r>
        <w:rPr>
          <w:rFonts w:hint="eastAsia" w:ascii="宋体" w:hAnsi="宋体" w:eastAsia="宋体" w:cs="宋体"/>
          <w:sz w:val="22"/>
          <w:szCs w:val="22"/>
          <w:highlight w:val="none"/>
        </w:rPr>
        <w:t>本模块主要模拟甲醇运输过程中，突然检测到甲醇罐压力异常，司机停车检查并合理处置的过程。首先由储罐压力检测仪表发出警报声，显示甲醇储罐压力异常，引导学员选择选择继续行驶或应急车道紧急停车。依据事故处理过程，设置多组人物协同操作模式，包括拨打119消防报警电话，拨打122交通事故报警、向单位报告情况、设立警戒、疏散人员等，并模拟了依据现场情况决定应急处理或者退至安全区域的决定过程。同时展示运输单位安全管理部门负责人通知应急领导小组、组织人员应急处置并即时通报信息的流程。最后模拟演示现场成立救援指挥小组，进行事故现场处置指挥与协调的过程。</w:t>
      </w:r>
    </w:p>
    <w:p>
      <w:pPr>
        <w:rPr>
          <w:rFonts w:hint="eastAsia" w:ascii="宋体" w:hAnsi="宋体" w:eastAsia="宋体" w:cs="宋体"/>
          <w:sz w:val="22"/>
          <w:szCs w:val="22"/>
          <w:highlight w:val="none"/>
          <w:lang w:eastAsia="zh-CN"/>
        </w:rPr>
      </w:pPr>
    </w:p>
    <w:p>
      <w:pPr>
        <w:rPr>
          <w:rFonts w:ascii="宋体" w:hAnsi="宋体" w:eastAsia="宋体" w:cs="宋体"/>
          <w:sz w:val="22"/>
          <w:szCs w:val="22"/>
          <w:highlight w:val="none"/>
        </w:rPr>
      </w:pPr>
      <w:r>
        <w:rPr>
          <w:rFonts w:hint="eastAsia" w:ascii="宋体" w:hAnsi="宋体" w:eastAsia="宋体" w:cs="宋体"/>
          <w:sz w:val="22"/>
          <w:szCs w:val="22"/>
          <w:highlight w:val="none"/>
          <w:lang w:val="en-US" w:eastAsia="zh-CN"/>
        </w:rPr>
        <w:t>2.3.2</w:t>
      </w:r>
      <w:r>
        <w:rPr>
          <w:rFonts w:hint="eastAsia" w:ascii="宋体" w:hAnsi="宋体" w:eastAsia="宋体" w:cs="宋体"/>
          <w:sz w:val="22"/>
          <w:szCs w:val="22"/>
          <w:highlight w:val="none"/>
        </w:rPr>
        <w:t>化工企业隐患排查模块</w:t>
      </w:r>
    </w:p>
    <w:p>
      <w:pPr>
        <w:widowControl/>
        <w:jc w:val="both"/>
        <w:rPr>
          <w:rFonts w:ascii="宋体" w:hAnsi="宋体" w:eastAsia="宋体" w:cs="Times New Roman"/>
          <w:kern w:val="0"/>
          <w:sz w:val="22"/>
          <w:szCs w:val="22"/>
          <w:highlight w:val="none"/>
          <w:lang w:eastAsia="zh-Hans"/>
        </w:rPr>
      </w:pPr>
      <w:r>
        <w:rPr>
          <w:rFonts w:ascii="宋体" w:hAnsi="宋体" w:eastAsia="宋体" w:cs="宋体"/>
          <w:b/>
          <w:kern w:val="0"/>
          <w:sz w:val="22"/>
          <w:szCs w:val="22"/>
          <w:highlight w:val="none"/>
          <w:lang w:eastAsia="zh-Hans"/>
        </w:rPr>
        <w:t>[指标项</w:t>
      </w:r>
      <w:r>
        <w:rPr>
          <w:rFonts w:hint="eastAsia" w:ascii="宋体" w:hAnsi="宋体" w:eastAsia="宋体" w:cs="宋体"/>
          <w:b/>
          <w:kern w:val="0"/>
          <w:sz w:val="22"/>
          <w:szCs w:val="22"/>
          <w:highlight w:val="none"/>
          <w:lang w:val="en-US" w:eastAsia="zh-CN"/>
        </w:rPr>
        <w:t>40</w:t>
      </w:r>
      <w:r>
        <w:rPr>
          <w:rFonts w:ascii="宋体" w:hAnsi="宋体" w:eastAsia="宋体" w:cs="宋体"/>
          <w:b/>
          <w:kern w:val="0"/>
          <w:sz w:val="22"/>
          <w:szCs w:val="22"/>
          <w:highlight w:val="none"/>
          <w:lang w:eastAsia="zh-Hans"/>
        </w:rPr>
        <w:t>]</w:t>
      </w:r>
    </w:p>
    <w:p>
      <w:pPr>
        <w:rPr>
          <w:rFonts w:ascii="宋体" w:hAnsi="宋体" w:eastAsia="宋体" w:cs="宋体"/>
          <w:sz w:val="22"/>
          <w:szCs w:val="22"/>
          <w:highlight w:val="none"/>
        </w:rPr>
      </w:pPr>
      <w:r>
        <w:rPr>
          <w:rFonts w:hint="eastAsia" w:ascii="宋体" w:hAnsi="宋体" w:eastAsia="宋体" w:cs="宋体"/>
          <w:sz w:val="22"/>
          <w:szCs w:val="22"/>
          <w:highlight w:val="none"/>
          <w:lang w:bidi="ar"/>
        </w:rPr>
        <w:t>基于动态过程仿真软件运行平台开发，利用虚拟现实技术，以标准安全设计图纸为原型，建立了一个三维的、高仿真度的、高交互操作的、全程参与式的、可提供实时信息反馈与操作指导的、虚拟的化工企业火灾风险防控及应急处置演练虚拟操作平台，软件旨在通过模拟，提高化工企业安全性，降低事故发生概率，培养更多应急管理人才来有效预防、及时控制和快速处理突发事件，控制突发事件带来的危害，加快突发事件的响应速度，为采取干预措施提供依据，唤起相关人员的安全意识和责任感，赋予其有效的安全知识和技能，促使大家养成科学、健康、安全的操作习惯，有效预防、及时控制和消除危险化学品在生产，经营，仓储过程中事故发生概率。</w:t>
      </w:r>
    </w:p>
    <w:p>
      <w:pPr>
        <w:rPr>
          <w:rFonts w:ascii="宋体" w:hAnsi="宋体" w:eastAsia="宋体" w:cs="宋体"/>
          <w:sz w:val="22"/>
          <w:szCs w:val="22"/>
          <w:highlight w:val="none"/>
        </w:rPr>
      </w:pPr>
      <w:r>
        <w:rPr>
          <w:rFonts w:hint="eastAsia" w:ascii="宋体" w:hAnsi="宋体" w:eastAsia="宋体" w:cs="宋体"/>
          <w:sz w:val="22"/>
          <w:szCs w:val="22"/>
          <w:highlight w:val="none"/>
          <w:lang w:bidi="ar"/>
        </w:rPr>
        <w:t>软件内容：</w:t>
      </w:r>
    </w:p>
    <w:p>
      <w:pPr>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val="en-US" w:eastAsia="zh-CN" w:bidi="ar"/>
        </w:rPr>
        <w:t>（1）</w:t>
      </w:r>
      <w:r>
        <w:rPr>
          <w:rFonts w:hint="eastAsia" w:ascii="宋体" w:hAnsi="宋体" w:eastAsia="宋体" w:cs="宋体"/>
          <w:sz w:val="22"/>
          <w:szCs w:val="22"/>
          <w:highlight w:val="none"/>
          <w:lang w:bidi="ar"/>
        </w:rPr>
        <w:t>场景为大型危化品仓库，存储有液体、气体、固体危化品和化工废料，品类不少于15种；</w:t>
      </w:r>
    </w:p>
    <w:p>
      <w:pPr>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val="en-US" w:eastAsia="zh-CN" w:bidi="ar"/>
        </w:rPr>
        <w:t>（2）</w:t>
      </w:r>
      <w:r>
        <w:rPr>
          <w:rFonts w:hint="eastAsia" w:ascii="宋体" w:hAnsi="宋体" w:eastAsia="宋体" w:cs="宋体"/>
          <w:sz w:val="22"/>
          <w:szCs w:val="22"/>
          <w:highlight w:val="none"/>
          <w:lang w:bidi="ar"/>
        </w:rPr>
        <w:t>按规范从定量管理、建筑物及设施、车辆管理等不少于7方面进行隐患排查；</w:t>
      </w:r>
    </w:p>
    <w:p>
      <w:pPr>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val="en-US" w:eastAsia="zh-CN" w:bidi="ar"/>
        </w:rPr>
        <w:t>（3）</w:t>
      </w:r>
      <w:r>
        <w:rPr>
          <w:rFonts w:hint="eastAsia" w:ascii="宋体" w:hAnsi="宋体" w:eastAsia="宋体" w:cs="宋体"/>
          <w:sz w:val="22"/>
          <w:szCs w:val="22"/>
          <w:highlight w:val="none"/>
          <w:lang w:bidi="ar"/>
        </w:rPr>
        <w:t>学员进入仓库按照仓储消防安全检查表进行火灾隐患排查，检查人员根据安全检查表，逐条检查定量管理、进出库记录、建筑物及设施、危化品储存情况、车辆管理情况、防火设施、人员防护和管理、废弃物处理等，这一模块采取隐患排查的方式，由操作者自主操作，发现场景中的不合规现象，软件给出判定是否合格。</w:t>
      </w:r>
    </w:p>
    <w:p>
      <w:pPr>
        <w:pStyle w:val="2"/>
        <w:rPr>
          <w:rFonts w:hint="eastAsia"/>
          <w:highlight w:val="none"/>
        </w:rPr>
      </w:pPr>
    </w:p>
    <w:p>
      <w:pPr>
        <w:rPr>
          <w:rFonts w:ascii="宋体" w:hAnsi="宋体" w:eastAsia="宋体" w:cs="宋体"/>
          <w:sz w:val="22"/>
          <w:szCs w:val="22"/>
          <w:highlight w:val="none"/>
        </w:rPr>
      </w:pPr>
      <w:r>
        <w:rPr>
          <w:rFonts w:hint="eastAsia" w:ascii="宋体" w:hAnsi="宋体" w:eastAsia="宋体" w:cs="宋体"/>
          <w:sz w:val="22"/>
          <w:szCs w:val="22"/>
          <w:highlight w:val="none"/>
          <w:lang w:val="en-US" w:eastAsia="zh-CN"/>
        </w:rPr>
        <w:t>2.3.3</w:t>
      </w:r>
      <w:r>
        <w:rPr>
          <w:rFonts w:hint="eastAsia" w:ascii="宋体" w:hAnsi="宋体" w:eastAsia="宋体" w:cs="宋体"/>
          <w:sz w:val="22"/>
          <w:szCs w:val="22"/>
          <w:highlight w:val="none"/>
        </w:rPr>
        <w:t>机械安全与事故处理模块</w:t>
      </w:r>
    </w:p>
    <w:p>
      <w:pPr>
        <w:rPr>
          <w:rFonts w:ascii="宋体" w:hAnsi="宋体" w:eastAsia="宋体" w:cs="宋体"/>
          <w:sz w:val="22"/>
          <w:szCs w:val="22"/>
          <w:highlight w:val="none"/>
        </w:rPr>
      </w:pPr>
      <w:r>
        <w:rPr>
          <w:rFonts w:hint="eastAsia" w:ascii="宋体" w:hAnsi="宋体" w:eastAsia="宋体" w:cs="宋体"/>
          <w:sz w:val="22"/>
          <w:szCs w:val="22"/>
          <w:highlight w:val="none"/>
        </w:rPr>
        <w:t>本软件是以实际机械车间为背景，通过虚拟仿真技术为学生进行关于机械安全的介绍与培训。内容包括机械安全相关知识的学习、车间防护用具的选择、安全标志的学习与测试、机械安全隐患的排查、安全事故的初步处理、安全事故的还原与分析。</w:t>
      </w:r>
    </w:p>
    <w:p>
      <w:pPr>
        <w:widowControl/>
        <w:jc w:val="both"/>
        <w:rPr>
          <w:rFonts w:hint="eastAsia" w:ascii="宋体" w:hAnsi="宋体" w:eastAsia="宋体" w:cs="宋体"/>
          <w:b/>
          <w:kern w:val="0"/>
          <w:sz w:val="22"/>
          <w:szCs w:val="22"/>
          <w:highlight w:val="none"/>
          <w:lang w:eastAsia="zh-CN"/>
        </w:rPr>
      </w:pPr>
      <w:r>
        <w:rPr>
          <w:rFonts w:ascii="宋体" w:hAnsi="宋体" w:eastAsia="宋体" w:cs="宋体"/>
          <w:b/>
          <w:kern w:val="0"/>
          <w:sz w:val="22"/>
          <w:szCs w:val="22"/>
          <w:highlight w:val="none"/>
          <w:lang w:eastAsia="zh-Hans"/>
        </w:rPr>
        <w:t>[指标项</w:t>
      </w:r>
      <w:r>
        <w:rPr>
          <w:rFonts w:hint="eastAsia" w:ascii="宋体" w:hAnsi="宋体" w:eastAsia="宋体" w:cs="宋体"/>
          <w:b/>
          <w:kern w:val="0"/>
          <w:sz w:val="22"/>
          <w:szCs w:val="22"/>
          <w:highlight w:val="none"/>
          <w:lang w:val="en-US" w:eastAsia="zh-CN"/>
        </w:rPr>
        <w:t>41</w:t>
      </w:r>
      <w:r>
        <w:rPr>
          <w:rFonts w:ascii="宋体" w:hAnsi="宋体" w:eastAsia="宋体" w:cs="宋体"/>
          <w:b/>
          <w:kern w:val="0"/>
          <w:sz w:val="22"/>
          <w:szCs w:val="22"/>
          <w:highlight w:val="none"/>
          <w:lang w:eastAsia="zh-Hans"/>
        </w:rPr>
        <w:t>]</w:t>
      </w:r>
    </w:p>
    <w:p>
      <w:pPr>
        <w:widowControl/>
        <w:jc w:val="both"/>
        <w:rPr>
          <w:rFonts w:ascii="宋体" w:hAnsi="宋体" w:eastAsia="宋体" w:cs="Times New Roman"/>
          <w:kern w:val="0"/>
          <w:sz w:val="22"/>
          <w:szCs w:val="22"/>
          <w:highlight w:val="none"/>
          <w:lang w:eastAsia="zh-Hans"/>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机械安全知识的学习</w:t>
      </w:r>
    </w:p>
    <w:p>
      <w:pP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包括对机械安全的介绍、车床的介绍，并且以视频的形式讲解机械安全事故的培训措施，以小游戏的形式展示四种常见的机械事故。</w:t>
      </w:r>
    </w:p>
    <w:p>
      <w:pPr>
        <w:rPr>
          <w:rFonts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防护装备的选择</w:t>
      </w:r>
    </w:p>
    <w:p>
      <w:pP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安全防护器具室（更衣室）进行防护用品的学习与穿戴，其中穿插正确和错误的防护用具供学生选择。</w:t>
      </w:r>
    </w:p>
    <w:p>
      <w:pPr>
        <w:rPr>
          <w:rFonts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安全标志的学习</w:t>
      </w:r>
    </w:p>
    <w:p>
      <w:pPr>
        <w:rPr>
          <w:rFonts w:ascii="宋体" w:hAnsi="宋体" w:eastAsia="宋体" w:cs="宋体"/>
          <w:sz w:val="22"/>
          <w:szCs w:val="22"/>
          <w:highlight w:val="none"/>
        </w:rPr>
      </w:pPr>
      <w:r>
        <w:rPr>
          <w:rFonts w:hint="eastAsia" w:ascii="宋体" w:hAnsi="宋体" w:eastAsia="宋体" w:cs="宋体"/>
          <w:sz w:val="22"/>
          <w:szCs w:val="22"/>
          <w:highlight w:val="none"/>
        </w:rPr>
        <w:t>依据国家标准GB2894-2008选取与机械安全相关的禁止标志、警告标志、指令标志供学生学习，并且设计连连看题目对安全标志的学习情况进行测试，考察学生对三种安全标志的掌握情况。</w:t>
      </w:r>
    </w:p>
    <w:p>
      <w:pPr>
        <w:rPr>
          <w:rFonts w:hint="eastAsia" w:ascii="宋体" w:hAnsi="宋体" w:eastAsia="宋体" w:cs="宋体"/>
          <w:b/>
          <w:kern w:val="0"/>
          <w:sz w:val="22"/>
          <w:szCs w:val="22"/>
          <w:highlight w:val="none"/>
          <w:lang w:eastAsia="zh-CN"/>
        </w:rPr>
      </w:pPr>
      <w:r>
        <w:rPr>
          <w:rFonts w:ascii="宋体" w:hAnsi="宋体" w:eastAsia="宋体" w:cs="宋体"/>
          <w:b/>
          <w:kern w:val="0"/>
          <w:sz w:val="22"/>
          <w:szCs w:val="22"/>
          <w:highlight w:val="none"/>
          <w:lang w:eastAsia="zh-Hans"/>
        </w:rPr>
        <w:t>[指标项</w:t>
      </w:r>
      <w:r>
        <w:rPr>
          <w:rFonts w:hint="eastAsia" w:ascii="宋体" w:hAnsi="宋体" w:eastAsia="宋体" w:cs="宋体"/>
          <w:b/>
          <w:kern w:val="0"/>
          <w:sz w:val="22"/>
          <w:szCs w:val="22"/>
          <w:highlight w:val="none"/>
          <w:lang w:val="en-US" w:eastAsia="zh-CN"/>
        </w:rPr>
        <w:t>42</w:t>
      </w:r>
      <w:r>
        <w:rPr>
          <w:rFonts w:ascii="宋体" w:hAnsi="宋体" w:eastAsia="宋体" w:cs="宋体"/>
          <w:b/>
          <w:kern w:val="0"/>
          <w:sz w:val="22"/>
          <w:szCs w:val="22"/>
          <w:highlight w:val="none"/>
          <w:lang w:eastAsia="zh-Hans"/>
        </w:rPr>
        <w:t>]</w:t>
      </w:r>
    </w:p>
    <w:p>
      <w:pPr>
        <w:rPr>
          <w:rFonts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 xml:space="preserve"> 指正机械安全隐患</w:t>
      </w:r>
    </w:p>
    <w:p>
      <w:pPr>
        <w:rPr>
          <w:rFonts w:ascii="宋体" w:hAnsi="宋体" w:eastAsia="宋体" w:cs="宋体"/>
          <w:sz w:val="22"/>
          <w:szCs w:val="22"/>
          <w:highlight w:val="none"/>
        </w:rPr>
      </w:pPr>
      <w:r>
        <w:rPr>
          <w:rFonts w:hint="eastAsia" w:ascii="宋体" w:hAnsi="宋体" w:eastAsia="宋体" w:cs="宋体"/>
          <w:sz w:val="22"/>
          <w:szCs w:val="22"/>
          <w:highlight w:val="none"/>
        </w:rPr>
        <w:t>设计16种机械安全隐患，每次随机选择12种隐患供学生指正，隐患中不仅包括固定的设备模型并且还以人物动画的方式展现车床中错误的操作，增加了画面的真实感，加深学生对该安全隐患的记忆。</w:t>
      </w:r>
    </w:p>
    <w:p>
      <w:pPr>
        <w:rPr>
          <w:rFonts w:ascii="宋体" w:hAnsi="宋体" w:eastAsia="宋体" w:cs="宋体"/>
          <w:sz w:val="22"/>
          <w:szCs w:val="22"/>
          <w:highlight w:val="none"/>
        </w:rPr>
      </w:pP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t>机械安全事故</w:t>
      </w:r>
    </w:p>
    <w:p>
      <w:pPr>
        <w:rPr>
          <w:rFonts w:ascii="宋体" w:hAnsi="宋体" w:eastAsia="宋体" w:cs="宋体"/>
          <w:sz w:val="22"/>
          <w:szCs w:val="22"/>
          <w:highlight w:val="none"/>
        </w:rPr>
      </w:pP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机械安全事故的前处理</w:t>
      </w:r>
    </w:p>
    <w:p>
      <w:pPr>
        <w:rPr>
          <w:rFonts w:ascii="宋体" w:hAnsi="宋体" w:eastAsia="宋体" w:cs="宋体"/>
          <w:sz w:val="22"/>
          <w:szCs w:val="22"/>
          <w:highlight w:val="none"/>
        </w:rPr>
      </w:pPr>
      <w:r>
        <w:rPr>
          <w:rFonts w:hint="eastAsia" w:ascii="宋体" w:hAnsi="宋体" w:eastAsia="宋体" w:cs="宋体"/>
          <w:sz w:val="22"/>
          <w:szCs w:val="22"/>
          <w:highlight w:val="none"/>
        </w:rPr>
        <w:t>包括对设备的处理（关闭设备）以及对受伤人员的处理（检查受伤人员并拨打120）。</w:t>
      </w:r>
    </w:p>
    <w:p>
      <w:pPr>
        <w:rPr>
          <w:rFonts w:ascii="宋体" w:hAnsi="宋体" w:eastAsia="宋体" w:cs="宋体"/>
          <w:sz w:val="22"/>
          <w:szCs w:val="22"/>
          <w:highlight w:val="none"/>
        </w:rPr>
      </w:pP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机械安全事故的分析</w:t>
      </w:r>
    </w:p>
    <w:p>
      <w:pPr>
        <w:rPr>
          <w:rFonts w:ascii="宋体" w:hAnsi="宋体" w:eastAsia="宋体" w:cs="宋体"/>
          <w:sz w:val="22"/>
          <w:szCs w:val="22"/>
          <w:highlight w:val="none"/>
        </w:rPr>
      </w:pPr>
      <w:r>
        <w:rPr>
          <w:rFonts w:hint="eastAsia" w:ascii="宋体" w:hAnsi="宋体" w:eastAsia="宋体" w:cs="宋体"/>
          <w:sz w:val="22"/>
          <w:szCs w:val="22"/>
          <w:highlight w:val="none"/>
        </w:rPr>
        <w:t>以人物动画的形式通过学生的操作来一步步还原寻找事故发生的原因，最终重建整个安全事故，中间还会以选择题的形式穿插相关的知识点供学生学习，最后通过对事故的还原来完成事故报告表的填写。增加学生对机械安全事故的重视程度。</w:t>
      </w:r>
    </w:p>
    <w:p>
      <w:pPr>
        <w:pStyle w:val="11"/>
        <w:keepNext w:val="0"/>
        <w:keepLines w:val="0"/>
        <w:widowControl/>
        <w:suppressLineNumbers w:val="0"/>
        <w:spacing w:before="75" w:beforeAutospacing="0" w:after="75" w:afterAutospacing="0"/>
        <w:ind w:left="0" w:right="0" w:firstLine="0"/>
        <w:outlineLvl w:val="1"/>
        <w:rPr>
          <w:rFonts w:hint="eastAsia" w:ascii="宋体" w:hAnsi="宋体" w:eastAsia="宋体" w:cs="宋体"/>
          <w:sz w:val="22"/>
          <w:szCs w:val="22"/>
          <w:highlight w:val="none"/>
        </w:rPr>
      </w:pPr>
      <w:r>
        <w:rPr>
          <w:rFonts w:hint="eastAsia" w:ascii="宋体" w:hAnsi="宋体" w:eastAsia="宋体" w:cs="宋体"/>
          <w:sz w:val="22"/>
          <w:szCs w:val="22"/>
          <w:highlight w:val="none"/>
        </w:rPr>
        <w:t>常见危险作业案例讲解:如工业防尘防毒、生产运输安全、机械作业安全、搬运和起重安全、化学危险物质及仓储安全防护等场景，包括相应的紧急救护措施，以视频的形式进行分析，开发形成安全课程教学资源。</w:t>
      </w:r>
    </w:p>
    <w:p>
      <w:pPr>
        <w:pStyle w:val="11"/>
        <w:keepNext w:val="0"/>
        <w:keepLines w:val="0"/>
        <w:widowControl/>
        <w:numPr>
          <w:ilvl w:val="0"/>
          <w:numId w:val="0"/>
        </w:numPr>
        <w:suppressLineNumbers w:val="0"/>
        <w:spacing w:before="75" w:beforeAutospacing="0" w:after="75" w:afterAutospacing="0"/>
        <w:ind w:right="0" w:rightChars="0"/>
        <w:outlineLvl w:val="1"/>
        <w:rPr>
          <w:rFonts w:hint="eastAsia" w:ascii="仿宋" w:hAnsi="仿宋" w:cs="宋体"/>
          <w:color w:val="000000"/>
          <w:kern w:val="0"/>
          <w:sz w:val="22"/>
          <w:szCs w:val="22"/>
          <w:highlight w:val="none"/>
          <w:lang w:val="en-US" w:eastAsia="zh-CN"/>
        </w:rPr>
      </w:pP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313" w:beforeLines="100" w:beforeAutospacing="0" w:after="313" w:afterLines="100" w:afterAutospacing="0" w:line="360" w:lineRule="auto"/>
        <w:ind w:left="0" w:leftChars="0" w:right="0" w:rightChars="0"/>
        <w:textAlignment w:val="auto"/>
        <w:outlineLvl w:val="1"/>
        <w:rPr>
          <w:rFonts w:hint="eastAsia" w:cstheme="minorBidi"/>
          <w:b/>
          <w:bCs/>
          <w:spacing w:val="0"/>
          <w:kern w:val="0"/>
          <w:sz w:val="22"/>
          <w:szCs w:val="22"/>
          <w:highlight w:val="none"/>
          <w:lang w:val="en-US" w:eastAsia="zh-CN" w:bidi="ar"/>
        </w:rPr>
      </w:pPr>
      <w:r>
        <w:rPr>
          <w:rFonts w:hint="eastAsia" w:cstheme="minorBidi"/>
          <w:b/>
          <w:bCs/>
          <w:spacing w:val="0"/>
          <w:kern w:val="0"/>
          <w:sz w:val="22"/>
          <w:szCs w:val="22"/>
          <w:highlight w:val="none"/>
          <w:lang w:val="en-US" w:eastAsia="zh-CN" w:bidi="ar"/>
        </w:rPr>
        <w:t>3 数字教材教学应用开发</w:t>
      </w:r>
    </w:p>
    <w:p>
      <w:pPr>
        <w:rPr>
          <w:rFonts w:ascii="宋体" w:hAnsi="宋体" w:eastAsia="宋体" w:cs="宋体"/>
          <w:b/>
          <w:kern w:val="0"/>
          <w:sz w:val="22"/>
          <w:szCs w:val="22"/>
          <w:highlight w:val="none"/>
          <w:lang w:eastAsia="zh-Hans"/>
        </w:rPr>
      </w:pPr>
      <w:r>
        <w:rPr>
          <w:rFonts w:ascii="宋体" w:hAnsi="宋体" w:eastAsia="宋体" w:cs="宋体"/>
          <w:b/>
          <w:kern w:val="0"/>
          <w:sz w:val="22"/>
          <w:szCs w:val="22"/>
          <w:highlight w:val="none"/>
          <w:lang w:eastAsia="zh-Hans"/>
        </w:rPr>
        <w:t>[指标项</w:t>
      </w:r>
      <w:r>
        <w:rPr>
          <w:rFonts w:hint="eastAsia" w:ascii="宋体" w:hAnsi="宋体" w:eastAsia="宋体" w:cs="宋体"/>
          <w:b/>
          <w:kern w:val="0"/>
          <w:sz w:val="22"/>
          <w:szCs w:val="22"/>
          <w:highlight w:val="none"/>
          <w:lang w:val="en-US" w:eastAsia="zh-CN"/>
        </w:rPr>
        <w:t>43</w:t>
      </w:r>
      <w:r>
        <w:rPr>
          <w:rFonts w:ascii="宋体" w:hAnsi="宋体" w:eastAsia="宋体" w:cs="宋体"/>
          <w:b/>
          <w:kern w:val="0"/>
          <w:sz w:val="22"/>
          <w:szCs w:val="22"/>
          <w:highlight w:val="none"/>
          <w:lang w:eastAsia="zh-Hans"/>
        </w:rPr>
        <w:t>]</w:t>
      </w:r>
    </w:p>
    <w:p>
      <w:pP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3.1协助学校完成课程体系建设，</w:t>
      </w:r>
      <w:r>
        <w:rPr>
          <w:rFonts w:hint="eastAsia" w:ascii="宋体" w:hAnsi="宋体" w:eastAsia="宋体" w:cs="宋体"/>
          <w:sz w:val="22"/>
          <w:szCs w:val="22"/>
          <w:highlight w:val="none"/>
        </w:rPr>
        <w:t>要满足不少于32课时</w:t>
      </w:r>
      <w:r>
        <w:rPr>
          <w:rFonts w:hint="eastAsia" w:ascii="宋体" w:hAnsi="宋体" w:eastAsia="宋体" w:cs="宋体"/>
          <w:sz w:val="22"/>
          <w:szCs w:val="22"/>
          <w:highlight w:val="none"/>
          <w:lang w:eastAsia="zh-CN"/>
        </w:rPr>
        <w:t>。</w:t>
      </w:r>
    </w:p>
    <w:p>
      <w:pPr>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3.2课程体系建设包括：教学PPT、课程知识、电子教案、视频材料、动画素材、虚拟仿真资源、习题库、拓展材料等，课程知识点主题涵盖基础的网络诈骗、消防、交通、用电、食品、校园生活、心理健康、人际交往、急救知识等，并根据实际教学需求做适当的调整和拓展。</w:t>
      </w:r>
    </w:p>
    <w:p>
      <w:pPr>
        <w:pStyle w:val="2"/>
        <w:rPr>
          <w:rFonts w:ascii="宋体" w:hAnsi="宋体" w:eastAsia="宋体" w:cs="宋体"/>
          <w:b/>
          <w:kern w:val="0"/>
          <w:sz w:val="22"/>
          <w:szCs w:val="22"/>
          <w:highlight w:val="none"/>
          <w:lang w:eastAsia="zh-Hans"/>
        </w:rPr>
      </w:pPr>
      <w:r>
        <w:rPr>
          <w:rFonts w:ascii="宋体" w:hAnsi="宋体" w:eastAsia="宋体" w:cs="宋体"/>
          <w:b/>
          <w:kern w:val="0"/>
          <w:sz w:val="22"/>
          <w:szCs w:val="22"/>
          <w:highlight w:val="none"/>
          <w:lang w:eastAsia="zh-Hans"/>
        </w:rPr>
        <w:t>[指标项</w:t>
      </w:r>
      <w:r>
        <w:rPr>
          <w:rFonts w:hint="eastAsia" w:ascii="宋体" w:hAnsi="宋体" w:eastAsia="宋体" w:cs="宋体"/>
          <w:b/>
          <w:kern w:val="0"/>
          <w:sz w:val="22"/>
          <w:szCs w:val="22"/>
          <w:highlight w:val="none"/>
          <w:lang w:val="en-US" w:eastAsia="zh-CN"/>
        </w:rPr>
        <w:t>44</w:t>
      </w:r>
      <w:r>
        <w:rPr>
          <w:rFonts w:ascii="宋体" w:hAnsi="宋体" w:eastAsia="宋体" w:cs="宋体"/>
          <w:b/>
          <w:kern w:val="0"/>
          <w:sz w:val="22"/>
          <w:szCs w:val="22"/>
          <w:highlight w:val="none"/>
          <w:lang w:eastAsia="zh-Hans"/>
        </w:rPr>
        <w:t>]</w:t>
      </w:r>
    </w:p>
    <w:p>
      <w:pPr>
        <w:pStyle w:val="2"/>
        <w:rPr>
          <w:b/>
          <w:bCs/>
          <w:sz w:val="22"/>
          <w:szCs w:val="22"/>
          <w:highlight w:val="none"/>
          <w:lang w:bidi="ar"/>
        </w:rPr>
      </w:pPr>
      <w:r>
        <w:rPr>
          <w:rFonts w:hint="eastAsia" w:asciiTheme="minorEastAsia" w:hAnsiTheme="minorEastAsia" w:eastAsiaTheme="minorEastAsia" w:cstheme="minorEastAsia"/>
          <w:b/>
          <w:bCs/>
          <w:sz w:val="22"/>
          <w:szCs w:val="22"/>
          <w:highlight w:val="none"/>
        </w:rPr>
        <w:t>▲</w:t>
      </w:r>
      <w:r>
        <w:rPr>
          <w:rFonts w:hint="eastAsia" w:ascii="宋体" w:hAnsi="宋体" w:eastAsia="宋体" w:cs="宋体"/>
          <w:sz w:val="22"/>
          <w:szCs w:val="22"/>
          <w:highlight w:val="none"/>
          <w:lang w:val="en-US" w:eastAsia="zh-CN"/>
        </w:rPr>
        <w:t>3.3协助学校对整体课程进行编辑审校，并由国家级出版社正式出版，数字教材具有ISBN号，并提供出版证书。</w:t>
      </w:r>
      <w:r>
        <w:rPr>
          <w:rFonts w:hint="eastAsia"/>
          <w:b/>
          <w:bCs/>
          <w:sz w:val="22"/>
          <w:szCs w:val="22"/>
          <w:highlight w:val="none"/>
        </w:rPr>
        <w:t>（</w:t>
      </w:r>
      <w:r>
        <w:rPr>
          <w:rFonts w:hint="eastAsia"/>
          <w:b/>
          <w:bCs/>
          <w:sz w:val="22"/>
          <w:szCs w:val="22"/>
          <w:highlight w:val="none"/>
          <w:lang w:val="en-US" w:eastAsia="zh-CN"/>
        </w:rPr>
        <w:t>投标时提供3家国家级出版社开具的同意数字出版本选题的证明供学校选择，要求证明加盖出版社公章</w:t>
      </w:r>
      <w:r>
        <w:rPr>
          <w:rFonts w:hint="eastAsia"/>
          <w:b/>
          <w:bCs/>
          <w:sz w:val="22"/>
          <w:szCs w:val="22"/>
          <w:highlight w:val="none"/>
        </w:rPr>
        <w:t>）</w:t>
      </w:r>
    </w:p>
    <w:p>
      <w:pPr>
        <w:pStyle w:val="11"/>
        <w:keepNext w:val="0"/>
        <w:keepLines w:val="0"/>
        <w:widowControl/>
        <w:numPr>
          <w:ilvl w:val="0"/>
          <w:numId w:val="0"/>
        </w:numPr>
        <w:suppressLineNumbers w:val="0"/>
        <w:spacing w:before="75" w:beforeAutospacing="0" w:after="75" w:afterAutospacing="0"/>
        <w:ind w:right="0" w:rightChars="0"/>
        <w:outlineLvl w:val="1"/>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3.4 数字教材出版后，协助学校全流程参与省级规划教材或国家级规划教材的申报工作。</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313" w:beforeLines="100" w:beforeAutospacing="0" w:after="313" w:afterLines="100" w:afterAutospacing="0" w:line="360" w:lineRule="auto"/>
        <w:ind w:left="0" w:leftChars="0" w:right="0" w:rightChars="0"/>
        <w:textAlignment w:val="auto"/>
        <w:outlineLvl w:val="1"/>
        <w:rPr>
          <w:rFonts w:hint="eastAsia" w:cstheme="minorBidi"/>
          <w:b/>
          <w:bCs/>
          <w:spacing w:val="0"/>
          <w:kern w:val="0"/>
          <w:sz w:val="22"/>
          <w:szCs w:val="22"/>
          <w:highlight w:val="none"/>
          <w:lang w:val="en-US" w:eastAsia="zh-CN" w:bidi="ar"/>
        </w:rPr>
      </w:pPr>
      <w:r>
        <w:rPr>
          <w:rFonts w:hint="eastAsia" w:cstheme="minorBidi"/>
          <w:b/>
          <w:bCs/>
          <w:spacing w:val="0"/>
          <w:kern w:val="0"/>
          <w:sz w:val="22"/>
          <w:szCs w:val="22"/>
          <w:highlight w:val="none"/>
          <w:lang w:val="en-US" w:eastAsia="zh-CN" w:bidi="ar"/>
        </w:rPr>
        <w:t>4 省级精品课程建设开发</w:t>
      </w:r>
    </w:p>
    <w:p>
      <w:pPr>
        <w:widowControl/>
        <w:numPr>
          <w:ilvl w:val="0"/>
          <w:numId w:val="0"/>
        </w:numPr>
        <w:spacing w:line="400" w:lineRule="exact"/>
        <w:rPr>
          <w:rFonts w:ascii="宋体" w:hAnsi="宋体" w:eastAsia="宋体" w:cs="宋体"/>
          <w:b w:val="0"/>
          <w:bCs w:val="0"/>
          <w:sz w:val="22"/>
          <w:szCs w:val="22"/>
          <w:highlight w:val="none"/>
        </w:rPr>
      </w:pPr>
      <w:r>
        <w:rPr>
          <w:rFonts w:hint="eastAsia" w:ascii="宋体" w:hAnsi="宋体" w:eastAsia="宋体" w:cs="宋体"/>
          <w:b w:val="0"/>
          <w:bCs w:val="0"/>
          <w:kern w:val="2"/>
          <w:sz w:val="22"/>
          <w:szCs w:val="22"/>
          <w:highlight w:val="none"/>
          <w:lang w:val="en-US" w:eastAsia="zh-CN" w:bidi="ar-SA"/>
        </w:rPr>
        <w:t>4.1</w:t>
      </w:r>
      <w:r>
        <w:rPr>
          <w:rFonts w:ascii="宋体" w:hAnsi="宋体" w:eastAsia="宋体" w:cs="宋体"/>
          <w:b w:val="0"/>
          <w:bCs w:val="0"/>
          <w:sz w:val="22"/>
          <w:szCs w:val="22"/>
          <w:highlight w:val="none"/>
        </w:rPr>
        <w:t>资源建设要求：技术须达到或高于《福建省职业教育精品在线开放课程建设标准建设要求（试行）》制作标准要求。</w:t>
      </w:r>
    </w:p>
    <w:p>
      <w:pPr>
        <w:pStyle w:val="2"/>
        <w:rPr>
          <w:highlight w:val="none"/>
        </w:rPr>
      </w:pPr>
    </w:p>
    <w:p>
      <w:pPr>
        <w:rPr>
          <w:rFonts w:hint="eastAsia" w:ascii="宋体" w:hAnsi="宋体" w:eastAsia="宋体" w:cs="宋体"/>
          <w:sz w:val="22"/>
          <w:szCs w:val="22"/>
          <w:highlight w:val="none"/>
          <w:lang w:val="en-US" w:eastAsia="zh-CN" w:bidi="ar"/>
        </w:rPr>
      </w:pPr>
      <w:r>
        <w:rPr>
          <w:rFonts w:hint="eastAsia" w:ascii="宋体" w:hAnsi="宋体" w:eastAsia="宋体" w:cs="宋体"/>
          <w:sz w:val="22"/>
          <w:szCs w:val="22"/>
          <w:highlight w:val="none"/>
          <w:lang w:val="en-US" w:eastAsia="zh-CN" w:bidi="ar"/>
        </w:rPr>
        <w:t>4.2制作内容包括：</w:t>
      </w:r>
    </w:p>
    <w:tbl>
      <w:tblPr>
        <w:tblStyle w:val="14"/>
        <w:tblW w:w="8306"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381"/>
        <w:gridCol w:w="1106"/>
        <w:gridCol w:w="931"/>
        <w:gridCol w:w="5317"/>
        <w:gridCol w:w="57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8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20"/>
              <w:ind w:firstLine="5"/>
              <w:jc w:val="center"/>
              <w:rPr>
                <w:b w:val="0"/>
                <w:bCs w:val="0"/>
                <w:highlight w:val="none"/>
              </w:rPr>
            </w:pPr>
            <w:r>
              <w:rPr>
                <w:rFonts w:ascii="宋体" w:hAnsi="宋体" w:eastAsia="宋体" w:cs="宋体"/>
                <w:b w:val="0"/>
                <w:bCs w:val="0"/>
                <w:color w:val="000000"/>
                <w:sz w:val="18"/>
                <w:highlight w:val="none"/>
              </w:rPr>
              <w:t>序号</w:t>
            </w:r>
          </w:p>
        </w:tc>
        <w:tc>
          <w:tcPr>
            <w:tcW w:w="1106"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20"/>
              <w:ind w:firstLine="5"/>
              <w:jc w:val="center"/>
              <w:rPr>
                <w:b/>
                <w:bCs/>
                <w:highlight w:val="none"/>
              </w:rPr>
            </w:pPr>
            <w:r>
              <w:rPr>
                <w:rFonts w:ascii="宋体" w:hAnsi="宋体" w:eastAsia="宋体" w:cs="宋体"/>
                <w:b/>
                <w:bCs/>
                <w:color w:val="000000"/>
                <w:sz w:val="18"/>
                <w:highlight w:val="none"/>
              </w:rPr>
              <w:t>评审指标项</w:t>
            </w:r>
          </w:p>
        </w:tc>
        <w:tc>
          <w:tcPr>
            <w:tcW w:w="931"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center"/>
          </w:tcPr>
          <w:p>
            <w:pPr>
              <w:pStyle w:val="20"/>
              <w:ind w:firstLine="5"/>
              <w:jc w:val="center"/>
              <w:rPr>
                <w:b w:val="0"/>
                <w:bCs w:val="0"/>
                <w:highlight w:val="none"/>
              </w:rPr>
            </w:pPr>
            <w:r>
              <w:rPr>
                <w:rFonts w:ascii="宋体" w:hAnsi="宋体" w:eastAsia="宋体" w:cs="宋体"/>
                <w:b w:val="0"/>
                <w:bCs w:val="0"/>
                <w:color w:val="000000"/>
                <w:sz w:val="18"/>
                <w:highlight w:val="none"/>
              </w:rPr>
              <w:t>建设内容</w:t>
            </w:r>
          </w:p>
        </w:tc>
        <w:tc>
          <w:tcPr>
            <w:tcW w:w="5317"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pPr>
              <w:pStyle w:val="20"/>
              <w:ind w:firstLine="5"/>
              <w:jc w:val="center"/>
              <w:rPr>
                <w:b w:val="0"/>
                <w:bCs w:val="0"/>
                <w:highlight w:val="none"/>
              </w:rPr>
            </w:pPr>
            <w:r>
              <w:rPr>
                <w:rFonts w:ascii="宋体" w:hAnsi="宋体" w:eastAsia="宋体" w:cs="宋体"/>
                <w:b w:val="0"/>
                <w:bCs w:val="0"/>
                <w:color w:val="000000"/>
                <w:sz w:val="18"/>
                <w:highlight w:val="none"/>
              </w:rPr>
              <w:t>要求</w:t>
            </w:r>
          </w:p>
        </w:tc>
        <w:tc>
          <w:tcPr>
            <w:tcW w:w="571"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pPr>
              <w:pStyle w:val="20"/>
              <w:ind w:firstLine="5"/>
              <w:jc w:val="center"/>
              <w:rPr>
                <w:b w:val="0"/>
                <w:bCs w:val="0"/>
                <w:highlight w:val="none"/>
              </w:rPr>
            </w:pPr>
            <w:r>
              <w:rPr>
                <w:rFonts w:ascii="宋体" w:hAnsi="宋体" w:eastAsia="宋体" w:cs="宋体"/>
                <w:b w:val="0"/>
                <w:bCs w:val="0"/>
                <w:color w:val="000000"/>
                <w:sz w:val="18"/>
                <w:highlight w:val="none"/>
              </w:rPr>
              <w:t>数量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8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20"/>
              <w:ind w:firstLine="5"/>
              <w:jc w:val="center"/>
              <w:rPr>
                <w:b w:val="0"/>
                <w:bCs w:val="0"/>
                <w:highlight w:val="none"/>
              </w:rPr>
            </w:pPr>
            <w:r>
              <w:rPr>
                <w:rFonts w:ascii="宋体" w:hAnsi="宋体" w:eastAsia="宋体" w:cs="宋体"/>
                <w:b w:val="0"/>
                <w:bCs w:val="0"/>
                <w:color w:val="000000"/>
                <w:sz w:val="18"/>
                <w:highlight w:val="none"/>
              </w:rPr>
              <w:t>1</w:t>
            </w:r>
          </w:p>
        </w:tc>
        <w:tc>
          <w:tcPr>
            <w:tcW w:w="1106"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20"/>
              <w:ind w:firstLine="5"/>
              <w:jc w:val="center"/>
              <w:rPr>
                <w:rFonts w:hint="default" w:eastAsia="宋体"/>
                <w:b/>
                <w:bCs/>
                <w:highlight w:val="none"/>
                <w:lang w:val="en-US" w:eastAsia="zh-CN"/>
              </w:rPr>
            </w:pPr>
            <w:r>
              <w:rPr>
                <w:rFonts w:hint="eastAsia" w:ascii="宋体" w:hAnsi="宋体" w:eastAsia="宋体" w:cs="宋体"/>
                <w:b/>
                <w:bCs/>
                <w:color w:val="000000"/>
                <w:sz w:val="18"/>
                <w:highlight w:val="none"/>
                <w:lang w:val="en-US" w:eastAsia="zh-CN"/>
              </w:rPr>
              <w:t>[</w:t>
            </w:r>
            <w:r>
              <w:rPr>
                <w:rFonts w:ascii="宋体" w:hAnsi="宋体" w:eastAsia="宋体" w:cs="宋体"/>
                <w:b/>
                <w:bCs/>
                <w:color w:val="000000"/>
                <w:sz w:val="18"/>
                <w:highlight w:val="none"/>
              </w:rPr>
              <w:t>指标项</w:t>
            </w:r>
            <w:r>
              <w:rPr>
                <w:rFonts w:hint="eastAsia" w:ascii="宋体" w:hAnsi="宋体" w:eastAsia="宋体" w:cs="宋体"/>
                <w:b/>
                <w:bCs/>
                <w:color w:val="000000"/>
                <w:sz w:val="18"/>
                <w:highlight w:val="none"/>
                <w:lang w:val="en-US" w:eastAsia="zh-CN"/>
              </w:rPr>
              <w:t>45]</w:t>
            </w:r>
          </w:p>
        </w:tc>
        <w:tc>
          <w:tcPr>
            <w:tcW w:w="931"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20"/>
              <w:ind w:firstLine="5"/>
              <w:jc w:val="center"/>
              <w:rPr>
                <w:b w:val="0"/>
                <w:bCs w:val="0"/>
                <w:highlight w:val="none"/>
              </w:rPr>
            </w:pPr>
            <w:r>
              <w:rPr>
                <w:rFonts w:hint="eastAsia" w:ascii="宋体" w:hAnsi="宋体" w:eastAsia="宋体" w:cs="宋体"/>
                <w:b w:val="0"/>
                <w:bCs w:val="0"/>
                <w:color w:val="000000"/>
                <w:sz w:val="18"/>
                <w:highlight w:val="none"/>
              </w:rPr>
              <w:t>课程概述视频</w:t>
            </w:r>
          </w:p>
        </w:tc>
        <w:tc>
          <w:tcPr>
            <w:tcW w:w="5317"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20"/>
              <w:ind w:firstLine="5"/>
              <w:jc w:val="left"/>
              <w:rPr>
                <w:b w:val="0"/>
                <w:bCs w:val="0"/>
                <w:highlight w:val="none"/>
              </w:rPr>
            </w:pPr>
            <w:r>
              <w:rPr>
                <w:rFonts w:hint="eastAsia" w:ascii="宋体" w:hAnsi="宋体" w:eastAsia="宋体" w:cs="宋体"/>
                <w:b w:val="0"/>
                <w:bCs w:val="0"/>
                <w:color w:val="000000"/>
                <w:sz w:val="18"/>
                <w:highlight w:val="none"/>
              </w:rPr>
              <w:t>制作 5-10分钟的课程概述视频，在课程简介基础上提炼和升华，包含基本信息、课程设计、课程建设、课程实施、教学环境、教学效果和特色创新之处等内容，旨在推广本课程；要求语言生动、形象、有吸引力；满足技术要求中的视频制作规范。</w:t>
            </w:r>
          </w:p>
        </w:tc>
        <w:tc>
          <w:tcPr>
            <w:tcW w:w="571"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20"/>
              <w:ind w:firstLine="5"/>
              <w:jc w:val="center"/>
              <w:rPr>
                <w:b w:val="0"/>
                <w:bCs w:val="0"/>
                <w:highlight w:val="none"/>
              </w:rPr>
            </w:pPr>
          </w:p>
          <w:p>
            <w:pPr>
              <w:pStyle w:val="20"/>
              <w:ind w:firstLine="5"/>
              <w:jc w:val="center"/>
              <w:rPr>
                <w:b w:val="0"/>
                <w:bCs w:val="0"/>
                <w:highlight w:val="none"/>
              </w:rPr>
            </w:pPr>
            <w:r>
              <w:rPr>
                <w:rFonts w:hint="eastAsia" w:ascii="宋体" w:hAnsi="宋体" w:eastAsia="宋体" w:cs="宋体"/>
                <w:b w:val="0"/>
                <w:bCs w:val="0"/>
                <w:color w:val="000000"/>
                <w:sz w:val="18"/>
                <w:highlight w:val="none"/>
                <w:lang w:val="en-US" w:eastAsia="zh-CN"/>
              </w:rPr>
              <w:t>1</w:t>
            </w:r>
            <w:r>
              <w:rPr>
                <w:rFonts w:ascii="宋体" w:hAnsi="宋体" w:eastAsia="宋体" w:cs="宋体"/>
                <w:b w:val="0"/>
                <w:bCs w:val="0"/>
                <w:color w:val="000000"/>
                <w:sz w:val="18"/>
                <w:highlight w:val="none"/>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8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20"/>
              <w:ind w:firstLine="5"/>
              <w:jc w:val="center"/>
              <w:rPr>
                <w:rFonts w:hint="eastAsia" w:eastAsiaTheme="minorEastAsia"/>
                <w:b w:val="0"/>
                <w:bCs w:val="0"/>
                <w:highlight w:val="none"/>
                <w:lang w:eastAsia="zh-CN"/>
              </w:rPr>
            </w:pPr>
            <w:r>
              <w:rPr>
                <w:rFonts w:hint="eastAsia" w:ascii="宋体" w:hAnsi="宋体" w:eastAsia="宋体" w:cs="宋体"/>
                <w:b w:val="0"/>
                <w:bCs w:val="0"/>
                <w:color w:val="000000"/>
                <w:sz w:val="18"/>
                <w:highlight w:val="none"/>
                <w:lang w:val="en-US" w:eastAsia="zh-CN"/>
              </w:rPr>
              <w:t>2</w:t>
            </w:r>
          </w:p>
        </w:tc>
        <w:tc>
          <w:tcPr>
            <w:tcW w:w="1106"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20"/>
              <w:ind w:firstLine="5"/>
              <w:jc w:val="center"/>
              <w:rPr>
                <w:rFonts w:hint="eastAsia" w:eastAsia="宋体"/>
                <w:b/>
                <w:bCs/>
                <w:highlight w:val="none"/>
                <w:lang w:val="en-US" w:eastAsia="zh-CN"/>
              </w:rPr>
            </w:pPr>
            <w:r>
              <w:rPr>
                <w:rFonts w:hint="eastAsia" w:ascii="宋体" w:hAnsi="宋体" w:eastAsia="宋体" w:cs="宋体"/>
                <w:b/>
                <w:bCs/>
                <w:color w:val="000000"/>
                <w:sz w:val="18"/>
                <w:highlight w:val="none"/>
                <w:lang w:val="en-US" w:eastAsia="zh-CN"/>
              </w:rPr>
              <w:t>[</w:t>
            </w:r>
            <w:r>
              <w:rPr>
                <w:rFonts w:ascii="宋体" w:hAnsi="宋体" w:eastAsia="宋体" w:cs="宋体"/>
                <w:b/>
                <w:bCs/>
                <w:color w:val="000000"/>
                <w:sz w:val="18"/>
                <w:highlight w:val="none"/>
              </w:rPr>
              <w:t>指标项</w:t>
            </w:r>
            <w:r>
              <w:rPr>
                <w:rFonts w:hint="eastAsia" w:ascii="宋体" w:hAnsi="宋体" w:eastAsia="宋体" w:cs="宋体"/>
                <w:b/>
                <w:bCs/>
                <w:color w:val="000000"/>
                <w:sz w:val="18"/>
                <w:highlight w:val="none"/>
                <w:lang w:val="en-US" w:eastAsia="zh-CN"/>
              </w:rPr>
              <w:t>46]</w:t>
            </w:r>
          </w:p>
        </w:tc>
        <w:tc>
          <w:tcPr>
            <w:tcW w:w="931"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20"/>
              <w:ind w:firstLine="5"/>
              <w:jc w:val="center"/>
              <w:rPr>
                <w:b w:val="0"/>
                <w:bCs w:val="0"/>
                <w:highlight w:val="none"/>
              </w:rPr>
            </w:pPr>
            <w:r>
              <w:rPr>
                <w:rFonts w:ascii="宋体" w:hAnsi="宋体" w:eastAsia="宋体" w:cs="宋体"/>
                <w:b w:val="0"/>
                <w:bCs w:val="0"/>
                <w:color w:val="000000"/>
                <w:sz w:val="18"/>
                <w:highlight w:val="none"/>
              </w:rPr>
              <w:t>课程封面设 计</w:t>
            </w:r>
          </w:p>
        </w:tc>
        <w:tc>
          <w:tcPr>
            <w:tcW w:w="5317"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20"/>
              <w:ind w:firstLine="5"/>
              <w:jc w:val="left"/>
              <w:rPr>
                <w:rFonts w:hint="eastAsia" w:ascii="宋体" w:hAnsi="宋体" w:eastAsia="宋体" w:cs="宋体"/>
                <w:b w:val="0"/>
                <w:bCs w:val="0"/>
                <w:color w:val="000000"/>
                <w:sz w:val="18"/>
                <w:highlight w:val="none"/>
              </w:rPr>
            </w:pPr>
            <w:r>
              <w:rPr>
                <w:rFonts w:hint="eastAsia" w:ascii="宋体" w:hAnsi="宋体" w:eastAsia="宋体" w:cs="宋体"/>
                <w:b w:val="0"/>
                <w:bCs w:val="0"/>
                <w:color w:val="000000"/>
                <w:sz w:val="18"/>
                <w:highlight w:val="none"/>
              </w:rPr>
              <w:t>1.根据课程内容设计符合课程风格的封面</w:t>
            </w:r>
          </w:p>
          <w:p>
            <w:pPr>
              <w:pStyle w:val="20"/>
              <w:ind w:firstLine="5"/>
              <w:jc w:val="left"/>
              <w:rPr>
                <w:rFonts w:hint="eastAsia" w:ascii="宋体" w:hAnsi="宋体" w:eastAsia="宋体" w:cs="宋体"/>
                <w:b w:val="0"/>
                <w:bCs w:val="0"/>
                <w:color w:val="000000"/>
                <w:sz w:val="18"/>
                <w:highlight w:val="none"/>
              </w:rPr>
            </w:pPr>
            <w:r>
              <w:rPr>
                <w:rFonts w:hint="eastAsia" w:ascii="宋体" w:hAnsi="宋体" w:eastAsia="宋体" w:cs="宋体"/>
                <w:b w:val="0"/>
                <w:bCs w:val="0"/>
                <w:color w:val="000000"/>
                <w:sz w:val="18"/>
                <w:highlight w:val="none"/>
              </w:rPr>
              <w:t>2.应用于多个课程平台展示封面展示</w:t>
            </w:r>
          </w:p>
          <w:p>
            <w:pPr>
              <w:pStyle w:val="20"/>
              <w:ind w:firstLine="5"/>
              <w:jc w:val="left"/>
              <w:rPr>
                <w:b w:val="0"/>
                <w:bCs w:val="0"/>
                <w:highlight w:val="none"/>
              </w:rPr>
            </w:pPr>
            <w:r>
              <w:rPr>
                <w:rFonts w:hint="eastAsia" w:ascii="宋体" w:hAnsi="宋体" w:eastAsia="宋体" w:cs="宋体"/>
                <w:b w:val="0"/>
                <w:bCs w:val="0"/>
                <w:color w:val="000000"/>
                <w:sz w:val="18"/>
                <w:highlight w:val="none"/>
              </w:rPr>
              <w:t>3.课程封面包括LOGO、学校名称、课程名称或其它相关的信息等</w:t>
            </w:r>
          </w:p>
        </w:tc>
        <w:tc>
          <w:tcPr>
            <w:tcW w:w="571"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20"/>
              <w:ind w:firstLine="5"/>
              <w:jc w:val="center"/>
              <w:rPr>
                <w:b w:val="0"/>
                <w:bCs w:val="0"/>
                <w:highlight w:val="none"/>
              </w:rPr>
            </w:pPr>
            <w:r>
              <w:rPr>
                <w:rFonts w:hint="eastAsia" w:ascii="宋体" w:hAnsi="宋体" w:eastAsia="宋体" w:cs="宋体"/>
                <w:b w:val="0"/>
                <w:bCs w:val="0"/>
                <w:color w:val="000000"/>
                <w:sz w:val="18"/>
                <w:highlight w:val="none"/>
                <w:lang w:val="en-US" w:eastAsia="zh-CN"/>
              </w:rPr>
              <w:t>1</w:t>
            </w:r>
            <w:r>
              <w:rPr>
                <w:rFonts w:ascii="宋体" w:hAnsi="宋体" w:eastAsia="宋体" w:cs="宋体"/>
                <w:b w:val="0"/>
                <w:bCs w:val="0"/>
                <w:color w:val="000000"/>
                <w:sz w:val="18"/>
                <w:highlight w:val="none"/>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8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20"/>
              <w:ind w:firstLine="5"/>
              <w:jc w:val="center"/>
              <w:rPr>
                <w:rFonts w:hint="eastAsia" w:eastAsiaTheme="minorEastAsia"/>
                <w:b w:val="0"/>
                <w:bCs w:val="0"/>
                <w:highlight w:val="none"/>
                <w:lang w:eastAsia="zh-CN"/>
              </w:rPr>
            </w:pPr>
            <w:r>
              <w:rPr>
                <w:rFonts w:hint="eastAsia" w:ascii="宋体" w:hAnsi="宋体" w:eastAsia="宋体" w:cs="宋体"/>
                <w:b w:val="0"/>
                <w:bCs w:val="0"/>
                <w:color w:val="000000"/>
                <w:sz w:val="18"/>
                <w:highlight w:val="none"/>
                <w:lang w:val="en-US" w:eastAsia="zh-CN"/>
              </w:rPr>
              <w:t>3</w:t>
            </w:r>
          </w:p>
        </w:tc>
        <w:tc>
          <w:tcPr>
            <w:tcW w:w="1106"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20"/>
              <w:ind w:firstLine="5"/>
              <w:jc w:val="center"/>
              <w:rPr>
                <w:b/>
                <w:bCs/>
                <w:highlight w:val="none"/>
              </w:rPr>
            </w:pPr>
            <w:r>
              <w:rPr>
                <w:rFonts w:hint="eastAsia" w:ascii="宋体" w:hAnsi="宋体" w:eastAsia="宋体" w:cs="宋体"/>
                <w:b/>
                <w:bCs/>
                <w:color w:val="000000"/>
                <w:sz w:val="18"/>
                <w:highlight w:val="none"/>
                <w:lang w:val="en-US" w:eastAsia="zh-CN"/>
              </w:rPr>
              <w:t>[</w:t>
            </w:r>
            <w:r>
              <w:rPr>
                <w:rFonts w:ascii="宋体" w:hAnsi="宋体" w:eastAsia="宋体" w:cs="宋体"/>
                <w:b/>
                <w:bCs/>
                <w:color w:val="000000"/>
                <w:sz w:val="18"/>
                <w:highlight w:val="none"/>
              </w:rPr>
              <w:t>指标项</w:t>
            </w:r>
            <w:r>
              <w:rPr>
                <w:rFonts w:hint="eastAsia" w:ascii="宋体" w:hAnsi="宋体" w:eastAsia="宋体" w:cs="宋体"/>
                <w:b/>
                <w:bCs/>
                <w:color w:val="000000"/>
                <w:sz w:val="18"/>
                <w:highlight w:val="none"/>
                <w:lang w:val="en-US" w:eastAsia="zh-CN"/>
              </w:rPr>
              <w:t>47]</w:t>
            </w:r>
          </w:p>
        </w:tc>
        <w:tc>
          <w:tcPr>
            <w:tcW w:w="931"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20"/>
              <w:ind w:firstLine="5"/>
              <w:jc w:val="center"/>
              <w:rPr>
                <w:b w:val="0"/>
                <w:bCs w:val="0"/>
                <w:highlight w:val="none"/>
              </w:rPr>
            </w:pPr>
            <w:r>
              <w:rPr>
                <w:rFonts w:ascii="宋体" w:hAnsi="宋体" w:eastAsia="宋体" w:cs="宋体"/>
                <w:b w:val="0"/>
                <w:bCs w:val="0"/>
                <w:color w:val="000000"/>
                <w:sz w:val="18"/>
                <w:highlight w:val="none"/>
              </w:rPr>
              <w:t>课程标准</w:t>
            </w:r>
          </w:p>
        </w:tc>
        <w:tc>
          <w:tcPr>
            <w:tcW w:w="5317"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20"/>
              <w:ind w:firstLine="5"/>
              <w:jc w:val="left"/>
              <w:rPr>
                <w:b w:val="0"/>
                <w:bCs w:val="0"/>
                <w:highlight w:val="none"/>
              </w:rPr>
            </w:pPr>
            <w:r>
              <w:rPr>
                <w:rFonts w:hint="eastAsia" w:ascii="宋体" w:hAnsi="宋体" w:eastAsia="宋体" w:cs="宋体"/>
                <w:b w:val="0"/>
                <w:bCs w:val="0"/>
                <w:color w:val="000000"/>
                <w:sz w:val="18"/>
                <w:highlight w:val="none"/>
              </w:rPr>
              <w:t>指导课程建设及教学实施的规范性文件，一般包括课程概述（性质、定位、设计思路等）、课程特点、教学目标、教学内容与学时分配、模块教学设计、考核标准与方式、教材与资源的选用、师资要求、教学环境要求等内容。采用不同的课程模式，按照学生中心、呼应指标、精选动词、控制外延、有效可测、目标链完整性的原则，逆向设计，确定课程教学目标，设计课程结构与课程内容，制定课程标准。按校方教师提供的内容进行排版、美化。</w:t>
            </w:r>
          </w:p>
        </w:tc>
        <w:tc>
          <w:tcPr>
            <w:tcW w:w="571"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20"/>
              <w:ind w:firstLine="5"/>
              <w:jc w:val="center"/>
              <w:rPr>
                <w:b w:val="0"/>
                <w:bCs w:val="0"/>
                <w:highlight w:val="none"/>
              </w:rPr>
            </w:pPr>
            <w:r>
              <w:rPr>
                <w:rFonts w:hint="eastAsia" w:ascii="宋体" w:hAnsi="宋体" w:eastAsia="宋体" w:cs="宋体"/>
                <w:b w:val="0"/>
                <w:bCs w:val="0"/>
                <w:color w:val="000000"/>
                <w:sz w:val="18"/>
                <w:highlight w:val="none"/>
                <w:lang w:val="en-US" w:eastAsia="zh-CN"/>
              </w:rPr>
              <w:t>1</w:t>
            </w:r>
            <w:r>
              <w:rPr>
                <w:rFonts w:ascii="宋体" w:hAnsi="宋体" w:eastAsia="宋体" w:cs="宋体"/>
                <w:b w:val="0"/>
                <w:bCs w:val="0"/>
                <w:color w:val="000000"/>
                <w:sz w:val="18"/>
                <w:highlight w:val="none"/>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8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20"/>
              <w:ind w:firstLine="5"/>
              <w:jc w:val="center"/>
              <w:rPr>
                <w:rFonts w:hint="eastAsia" w:ascii="宋体" w:hAnsi="宋体" w:eastAsia="宋体" w:cs="宋体"/>
                <w:b w:val="0"/>
                <w:bCs w:val="0"/>
                <w:color w:val="000000"/>
                <w:sz w:val="18"/>
                <w:highlight w:val="none"/>
                <w:lang w:val="en-US" w:eastAsia="zh-CN"/>
              </w:rPr>
            </w:pPr>
            <w:r>
              <w:rPr>
                <w:rFonts w:hint="eastAsia" w:ascii="宋体" w:hAnsi="宋体" w:eastAsia="宋体" w:cs="宋体"/>
                <w:b w:val="0"/>
                <w:bCs w:val="0"/>
                <w:color w:val="000000"/>
                <w:sz w:val="18"/>
                <w:highlight w:val="none"/>
                <w:lang w:val="en-US" w:eastAsia="zh-CN"/>
              </w:rPr>
              <w:t>4</w:t>
            </w:r>
          </w:p>
        </w:tc>
        <w:tc>
          <w:tcPr>
            <w:tcW w:w="1106"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20"/>
              <w:ind w:firstLine="5"/>
              <w:jc w:val="center"/>
              <w:rPr>
                <w:rFonts w:ascii="宋体" w:hAnsi="宋体" w:eastAsia="宋体" w:cs="宋体"/>
                <w:b/>
                <w:bCs/>
                <w:color w:val="000000"/>
                <w:sz w:val="18"/>
                <w:highlight w:val="none"/>
              </w:rPr>
            </w:pPr>
            <w:r>
              <w:rPr>
                <w:rFonts w:hint="eastAsia" w:ascii="宋体" w:hAnsi="宋体" w:eastAsia="宋体" w:cs="宋体"/>
                <w:b/>
                <w:bCs/>
                <w:color w:val="000000"/>
                <w:sz w:val="18"/>
                <w:highlight w:val="none"/>
                <w:lang w:val="en-US" w:eastAsia="zh-CN"/>
              </w:rPr>
              <w:t>[</w:t>
            </w:r>
            <w:r>
              <w:rPr>
                <w:rFonts w:ascii="宋体" w:hAnsi="宋体" w:eastAsia="宋体" w:cs="宋体"/>
                <w:b/>
                <w:bCs/>
                <w:color w:val="000000"/>
                <w:sz w:val="18"/>
                <w:highlight w:val="none"/>
              </w:rPr>
              <w:t>指标项</w:t>
            </w:r>
            <w:r>
              <w:rPr>
                <w:rFonts w:hint="eastAsia" w:ascii="宋体" w:hAnsi="宋体" w:eastAsia="宋体" w:cs="宋体"/>
                <w:b/>
                <w:bCs/>
                <w:color w:val="000000"/>
                <w:sz w:val="18"/>
                <w:highlight w:val="none"/>
                <w:lang w:val="en-US" w:eastAsia="zh-CN"/>
              </w:rPr>
              <w:t>48]</w:t>
            </w:r>
          </w:p>
        </w:tc>
        <w:tc>
          <w:tcPr>
            <w:tcW w:w="931"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20"/>
              <w:ind w:firstLine="5"/>
              <w:jc w:val="center"/>
              <w:rPr>
                <w:rFonts w:ascii="宋体" w:hAnsi="宋体" w:eastAsia="宋体" w:cs="宋体"/>
                <w:b w:val="0"/>
                <w:bCs w:val="0"/>
                <w:color w:val="000000"/>
                <w:sz w:val="18"/>
                <w:highlight w:val="none"/>
              </w:rPr>
            </w:pPr>
            <w:r>
              <w:rPr>
                <w:rFonts w:hint="eastAsia" w:ascii="宋体" w:hAnsi="宋体" w:eastAsia="宋体" w:cs="宋体"/>
                <w:b w:val="0"/>
                <w:bCs w:val="0"/>
                <w:color w:val="000000"/>
                <w:sz w:val="18"/>
                <w:highlight w:val="none"/>
              </w:rPr>
              <w:t>知识图谱</w:t>
            </w:r>
          </w:p>
        </w:tc>
        <w:tc>
          <w:tcPr>
            <w:tcW w:w="5317"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20"/>
              <w:ind w:firstLine="5"/>
              <w:jc w:val="center"/>
              <w:rPr>
                <w:rFonts w:ascii="宋体" w:hAnsi="宋体" w:eastAsia="宋体" w:cs="宋体"/>
                <w:b w:val="0"/>
                <w:bCs w:val="0"/>
                <w:color w:val="000000"/>
                <w:sz w:val="18"/>
                <w:highlight w:val="none"/>
              </w:rPr>
            </w:pPr>
            <w:r>
              <w:rPr>
                <w:rFonts w:hint="eastAsia" w:ascii="宋体" w:hAnsi="宋体" w:eastAsia="宋体" w:cs="宋体"/>
                <w:b w:val="0"/>
                <w:bCs w:val="0"/>
                <w:color w:val="000000"/>
                <w:sz w:val="18"/>
                <w:highlight w:val="none"/>
              </w:rPr>
              <w:t>保持原有教学模式的基础上设置知识图谱，提高知识的可视化程度。</w:t>
            </w:r>
          </w:p>
        </w:tc>
        <w:tc>
          <w:tcPr>
            <w:tcW w:w="571"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20"/>
              <w:ind w:firstLine="5"/>
              <w:jc w:val="center"/>
              <w:rPr>
                <w:rFonts w:hint="default" w:ascii="宋体" w:hAnsi="宋体" w:eastAsia="宋体" w:cs="宋体"/>
                <w:b w:val="0"/>
                <w:bCs w:val="0"/>
                <w:color w:val="000000"/>
                <w:sz w:val="18"/>
                <w:highlight w:val="none"/>
                <w:lang w:val="en-US" w:eastAsia="zh-CN"/>
              </w:rPr>
            </w:pPr>
            <w:r>
              <w:rPr>
                <w:rFonts w:hint="eastAsia" w:ascii="宋体" w:hAnsi="宋体" w:eastAsia="宋体" w:cs="宋体"/>
                <w:b w:val="0"/>
                <w:bCs w:val="0"/>
                <w:color w:val="000000"/>
                <w:sz w:val="18"/>
                <w:highlight w:val="none"/>
                <w:lang w:val="en-US" w:eastAsia="zh-CN"/>
              </w:rPr>
              <w:t>1套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8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20"/>
              <w:ind w:firstLine="5"/>
              <w:jc w:val="center"/>
              <w:rPr>
                <w:rFonts w:hint="eastAsia" w:eastAsiaTheme="minorEastAsia"/>
                <w:b w:val="0"/>
                <w:bCs w:val="0"/>
                <w:highlight w:val="none"/>
                <w:lang w:eastAsia="zh-CN"/>
              </w:rPr>
            </w:pPr>
            <w:r>
              <w:rPr>
                <w:rFonts w:hint="eastAsia" w:ascii="宋体" w:hAnsi="宋体" w:eastAsia="宋体" w:cs="宋体"/>
                <w:b w:val="0"/>
                <w:bCs w:val="0"/>
                <w:color w:val="000000"/>
                <w:sz w:val="18"/>
                <w:highlight w:val="none"/>
                <w:lang w:val="en-US" w:eastAsia="zh-CN"/>
              </w:rPr>
              <w:t>5</w:t>
            </w:r>
          </w:p>
        </w:tc>
        <w:tc>
          <w:tcPr>
            <w:tcW w:w="1106"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20"/>
              <w:ind w:firstLine="5"/>
              <w:jc w:val="center"/>
              <w:rPr>
                <w:rFonts w:hint="eastAsia" w:eastAsia="宋体"/>
                <w:b/>
                <w:bCs/>
                <w:highlight w:val="none"/>
                <w:lang w:eastAsia="zh-CN"/>
              </w:rPr>
            </w:pPr>
            <w:r>
              <w:rPr>
                <w:rFonts w:hint="eastAsia" w:ascii="宋体" w:hAnsi="宋体" w:eastAsia="宋体" w:cs="宋体"/>
                <w:b/>
                <w:bCs/>
                <w:color w:val="000000"/>
                <w:sz w:val="18"/>
                <w:highlight w:val="none"/>
                <w:lang w:val="en-US" w:eastAsia="zh-CN"/>
              </w:rPr>
              <w:t>[</w:t>
            </w:r>
            <w:r>
              <w:rPr>
                <w:rFonts w:ascii="宋体" w:hAnsi="宋体" w:eastAsia="宋体" w:cs="宋体"/>
                <w:b/>
                <w:bCs/>
                <w:color w:val="000000"/>
                <w:sz w:val="18"/>
                <w:highlight w:val="none"/>
              </w:rPr>
              <w:t>指标项</w:t>
            </w:r>
            <w:r>
              <w:rPr>
                <w:rFonts w:hint="eastAsia" w:ascii="宋体" w:hAnsi="宋体" w:eastAsia="宋体" w:cs="宋体"/>
                <w:b/>
                <w:bCs/>
                <w:color w:val="000000"/>
                <w:sz w:val="18"/>
                <w:highlight w:val="none"/>
                <w:lang w:val="en-US" w:eastAsia="zh-CN"/>
              </w:rPr>
              <w:t>49]</w:t>
            </w:r>
          </w:p>
        </w:tc>
        <w:tc>
          <w:tcPr>
            <w:tcW w:w="931"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20"/>
              <w:ind w:firstLine="5"/>
              <w:jc w:val="center"/>
              <w:rPr>
                <w:b w:val="0"/>
                <w:bCs w:val="0"/>
                <w:highlight w:val="none"/>
              </w:rPr>
            </w:pPr>
            <w:r>
              <w:rPr>
                <w:rFonts w:hint="eastAsia" w:ascii="宋体" w:hAnsi="宋体" w:eastAsia="宋体" w:cs="宋体"/>
                <w:b w:val="0"/>
                <w:bCs w:val="0"/>
                <w:color w:val="000000"/>
                <w:sz w:val="18"/>
                <w:highlight w:val="none"/>
              </w:rPr>
              <w:t>课程思政教学设计、教案和案例</w:t>
            </w:r>
          </w:p>
        </w:tc>
        <w:tc>
          <w:tcPr>
            <w:tcW w:w="5317"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20"/>
              <w:ind w:firstLine="5"/>
              <w:jc w:val="left"/>
              <w:rPr>
                <w:rFonts w:hint="eastAsia" w:ascii="宋体" w:hAnsi="宋体" w:eastAsia="宋体" w:cs="宋体"/>
                <w:b w:val="0"/>
                <w:bCs w:val="0"/>
                <w:color w:val="000000"/>
                <w:sz w:val="18"/>
                <w:highlight w:val="none"/>
              </w:rPr>
            </w:pPr>
            <w:r>
              <w:rPr>
                <w:rFonts w:hint="eastAsia" w:ascii="宋体" w:hAnsi="宋体" w:eastAsia="宋体" w:cs="宋体"/>
                <w:b w:val="0"/>
                <w:bCs w:val="0"/>
                <w:color w:val="000000"/>
                <w:sz w:val="18"/>
                <w:highlight w:val="none"/>
              </w:rPr>
              <w:t>教学设计是指导具体教学实施的设计文档，对教学活动的诸多要素进行分析和对教学的各个环节进行策划的过程。</w:t>
            </w:r>
          </w:p>
          <w:p>
            <w:pPr>
              <w:pStyle w:val="20"/>
              <w:ind w:firstLine="5"/>
              <w:jc w:val="left"/>
              <w:rPr>
                <w:b w:val="0"/>
                <w:bCs w:val="0"/>
                <w:highlight w:val="none"/>
              </w:rPr>
            </w:pPr>
            <w:r>
              <w:rPr>
                <w:rFonts w:hint="eastAsia" w:ascii="宋体" w:hAnsi="宋体" w:eastAsia="宋体" w:cs="宋体"/>
                <w:b w:val="0"/>
                <w:bCs w:val="0"/>
                <w:color w:val="000000"/>
                <w:sz w:val="18"/>
                <w:highlight w:val="none"/>
              </w:rPr>
              <w:t>通过教学专家带领的教师同步工作坊，快速有效地重新设计并优化课程思政教学设计。要求专业课程教师整体上掌握课程思政内容体系，引导教师根据不同专业人才培养特点和专业能力素质要求，科学设计思想政治教育重点融入内容，制作本专业课程思政元素列表。产出教学目标、教学方法、教学评估对齐的课程思政大纲、教案和思政案例。按校方教师提供的内容进行排版、美化。</w:t>
            </w:r>
          </w:p>
        </w:tc>
        <w:tc>
          <w:tcPr>
            <w:tcW w:w="571"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20"/>
              <w:ind w:firstLine="5"/>
              <w:jc w:val="center"/>
              <w:rPr>
                <w:b w:val="0"/>
                <w:bCs w:val="0"/>
                <w:highlight w:val="none"/>
              </w:rPr>
            </w:pPr>
            <w:r>
              <w:rPr>
                <w:rFonts w:hint="eastAsia" w:ascii="宋体" w:hAnsi="宋体" w:eastAsia="宋体" w:cs="宋体"/>
                <w:b w:val="0"/>
                <w:bCs w:val="0"/>
                <w:color w:val="000000"/>
                <w:sz w:val="18"/>
                <w:highlight w:val="none"/>
                <w:lang w:val="en-US" w:eastAsia="zh-CN"/>
              </w:rPr>
              <w:t>1</w:t>
            </w:r>
            <w:r>
              <w:rPr>
                <w:rFonts w:ascii="宋体" w:hAnsi="宋体" w:eastAsia="宋体" w:cs="宋体"/>
                <w:b w:val="0"/>
                <w:bCs w:val="0"/>
                <w:color w:val="000000"/>
                <w:sz w:val="18"/>
                <w:highlight w:val="none"/>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8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20"/>
              <w:ind w:firstLine="5"/>
              <w:jc w:val="center"/>
              <w:rPr>
                <w:rFonts w:hint="eastAsia" w:eastAsiaTheme="minorEastAsia"/>
                <w:b w:val="0"/>
                <w:bCs w:val="0"/>
                <w:highlight w:val="none"/>
                <w:lang w:eastAsia="zh-CN"/>
              </w:rPr>
            </w:pPr>
            <w:r>
              <w:rPr>
                <w:rFonts w:hint="eastAsia" w:ascii="宋体" w:hAnsi="宋体" w:eastAsia="宋体" w:cs="宋体"/>
                <w:b w:val="0"/>
                <w:bCs w:val="0"/>
                <w:color w:val="000000"/>
                <w:sz w:val="18"/>
                <w:highlight w:val="none"/>
                <w:lang w:val="en-US" w:eastAsia="zh-CN"/>
              </w:rPr>
              <w:t>6</w:t>
            </w:r>
          </w:p>
        </w:tc>
        <w:tc>
          <w:tcPr>
            <w:tcW w:w="1106"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20"/>
              <w:ind w:firstLine="5"/>
              <w:jc w:val="center"/>
              <w:rPr>
                <w:rFonts w:hint="eastAsia" w:eastAsia="宋体"/>
                <w:b/>
                <w:bCs/>
                <w:highlight w:val="none"/>
                <w:lang w:eastAsia="zh-CN"/>
              </w:rPr>
            </w:pPr>
            <w:r>
              <w:rPr>
                <w:rFonts w:hint="eastAsia" w:ascii="宋体" w:hAnsi="宋体" w:eastAsia="宋体" w:cs="宋体"/>
                <w:b/>
                <w:bCs/>
                <w:color w:val="000000"/>
                <w:sz w:val="18"/>
                <w:highlight w:val="none"/>
                <w:lang w:val="en-US" w:eastAsia="zh-CN"/>
              </w:rPr>
              <w:t>[</w:t>
            </w:r>
            <w:r>
              <w:rPr>
                <w:rFonts w:ascii="宋体" w:hAnsi="宋体" w:eastAsia="宋体" w:cs="宋体"/>
                <w:b/>
                <w:bCs/>
                <w:color w:val="000000"/>
                <w:sz w:val="18"/>
                <w:highlight w:val="none"/>
              </w:rPr>
              <w:t>指标项</w:t>
            </w:r>
            <w:r>
              <w:rPr>
                <w:rFonts w:hint="eastAsia" w:ascii="宋体" w:hAnsi="宋体" w:eastAsia="宋体" w:cs="宋体"/>
                <w:b/>
                <w:bCs/>
                <w:color w:val="000000"/>
                <w:sz w:val="18"/>
                <w:highlight w:val="none"/>
                <w:lang w:val="en-US" w:eastAsia="zh-CN"/>
              </w:rPr>
              <w:t>50]</w:t>
            </w:r>
          </w:p>
        </w:tc>
        <w:tc>
          <w:tcPr>
            <w:tcW w:w="931"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20"/>
              <w:ind w:firstLine="5"/>
              <w:jc w:val="center"/>
              <w:rPr>
                <w:b w:val="0"/>
                <w:bCs w:val="0"/>
                <w:highlight w:val="none"/>
              </w:rPr>
            </w:pPr>
            <w:r>
              <w:rPr>
                <w:rFonts w:ascii="宋体" w:hAnsi="宋体" w:eastAsia="宋体" w:cs="宋体"/>
                <w:b w:val="0"/>
                <w:bCs w:val="0"/>
                <w:color w:val="000000"/>
                <w:sz w:val="18"/>
                <w:highlight w:val="none"/>
              </w:rPr>
              <w:t>多媒体教学</w:t>
            </w:r>
          </w:p>
          <w:p>
            <w:pPr>
              <w:pStyle w:val="20"/>
              <w:ind w:firstLine="5"/>
              <w:jc w:val="center"/>
              <w:rPr>
                <w:b w:val="0"/>
                <w:bCs w:val="0"/>
                <w:highlight w:val="none"/>
              </w:rPr>
            </w:pPr>
            <w:r>
              <w:rPr>
                <w:rFonts w:ascii="宋体" w:hAnsi="宋体" w:eastAsia="宋体" w:cs="宋体"/>
                <w:b w:val="0"/>
                <w:bCs w:val="0"/>
                <w:color w:val="000000"/>
                <w:sz w:val="18"/>
                <w:highlight w:val="none"/>
              </w:rPr>
              <w:t>PPT</w:t>
            </w:r>
          </w:p>
        </w:tc>
        <w:tc>
          <w:tcPr>
            <w:tcW w:w="5317"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20"/>
              <w:ind w:firstLine="5"/>
              <w:jc w:val="left"/>
              <w:rPr>
                <w:b w:val="0"/>
                <w:bCs w:val="0"/>
                <w:highlight w:val="none"/>
              </w:rPr>
            </w:pPr>
            <w:r>
              <w:rPr>
                <w:rFonts w:hint="eastAsia" w:ascii="宋体" w:hAnsi="宋体" w:eastAsia="宋体" w:cs="宋体"/>
                <w:b w:val="0"/>
                <w:bCs w:val="0"/>
                <w:color w:val="000000"/>
                <w:sz w:val="18"/>
                <w:highlight w:val="none"/>
              </w:rPr>
              <w:t>通过专家引导，依据改进的教案优化课件内容；优化课件中的图片、图标、图形表达；在课件中加入课堂互动，提升教学效果；通过专门的设计师，美化最终的课件，让整个设计符合教学需要，达到精品水平。按校方教师提供的内容进行排版、美化。</w:t>
            </w:r>
          </w:p>
        </w:tc>
        <w:tc>
          <w:tcPr>
            <w:tcW w:w="571"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20"/>
              <w:ind w:firstLine="5"/>
              <w:jc w:val="center"/>
              <w:rPr>
                <w:b w:val="0"/>
                <w:bCs w:val="0"/>
                <w:highlight w:val="none"/>
              </w:rPr>
            </w:pPr>
            <w:r>
              <w:rPr>
                <w:rFonts w:hint="eastAsia" w:ascii="宋体" w:hAnsi="宋体" w:eastAsia="宋体" w:cs="宋体"/>
                <w:b w:val="0"/>
                <w:bCs w:val="0"/>
                <w:color w:val="000000"/>
                <w:sz w:val="18"/>
                <w:highlight w:val="none"/>
                <w:lang w:val="en-US" w:eastAsia="zh-CN"/>
              </w:rPr>
              <w:t>1</w:t>
            </w:r>
            <w:r>
              <w:rPr>
                <w:rFonts w:ascii="宋体" w:hAnsi="宋体" w:eastAsia="宋体" w:cs="宋体"/>
                <w:b w:val="0"/>
                <w:bCs w:val="0"/>
                <w:color w:val="000000"/>
                <w:sz w:val="18"/>
                <w:highlight w:val="none"/>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8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20"/>
              <w:ind w:firstLine="5"/>
              <w:jc w:val="center"/>
              <w:rPr>
                <w:rFonts w:hint="eastAsia" w:eastAsiaTheme="minorEastAsia"/>
                <w:b w:val="0"/>
                <w:bCs w:val="0"/>
                <w:highlight w:val="none"/>
                <w:lang w:eastAsia="zh-CN"/>
              </w:rPr>
            </w:pPr>
            <w:r>
              <w:rPr>
                <w:rFonts w:hint="eastAsia" w:ascii="宋体" w:hAnsi="宋体" w:eastAsia="宋体" w:cs="宋体"/>
                <w:b w:val="0"/>
                <w:bCs w:val="0"/>
                <w:color w:val="000000"/>
                <w:sz w:val="18"/>
                <w:highlight w:val="none"/>
                <w:lang w:val="en-US" w:eastAsia="zh-CN"/>
              </w:rPr>
              <w:t>7</w:t>
            </w:r>
          </w:p>
        </w:tc>
        <w:tc>
          <w:tcPr>
            <w:tcW w:w="1106"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20"/>
              <w:ind w:firstLine="5"/>
              <w:jc w:val="center"/>
              <w:rPr>
                <w:rFonts w:hint="default" w:eastAsia="宋体"/>
                <w:b/>
                <w:bCs/>
                <w:highlight w:val="none"/>
                <w:lang w:val="en-US" w:eastAsia="zh-CN"/>
              </w:rPr>
            </w:pPr>
            <w:r>
              <w:rPr>
                <w:rFonts w:hint="eastAsia" w:ascii="宋体" w:hAnsi="宋体" w:eastAsia="宋体" w:cs="宋体"/>
                <w:b/>
                <w:bCs/>
                <w:color w:val="000000"/>
                <w:sz w:val="18"/>
                <w:highlight w:val="none"/>
                <w:lang w:val="en-US" w:eastAsia="zh-CN"/>
              </w:rPr>
              <w:t>[</w:t>
            </w:r>
            <w:r>
              <w:rPr>
                <w:rFonts w:ascii="宋体" w:hAnsi="宋体" w:eastAsia="宋体" w:cs="宋体"/>
                <w:b/>
                <w:bCs/>
                <w:color w:val="000000"/>
                <w:sz w:val="18"/>
                <w:highlight w:val="none"/>
              </w:rPr>
              <w:t>指标项</w:t>
            </w:r>
            <w:r>
              <w:rPr>
                <w:rFonts w:hint="eastAsia" w:ascii="宋体" w:hAnsi="宋体" w:eastAsia="宋体" w:cs="宋体"/>
                <w:b/>
                <w:bCs/>
                <w:color w:val="000000"/>
                <w:sz w:val="18"/>
                <w:highlight w:val="none"/>
                <w:lang w:val="en-US" w:eastAsia="zh-CN"/>
              </w:rPr>
              <w:t>51]</w:t>
            </w:r>
          </w:p>
        </w:tc>
        <w:tc>
          <w:tcPr>
            <w:tcW w:w="931"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20"/>
              <w:ind w:firstLine="5"/>
              <w:jc w:val="center"/>
              <w:rPr>
                <w:b w:val="0"/>
                <w:bCs w:val="0"/>
                <w:highlight w:val="none"/>
              </w:rPr>
            </w:pPr>
            <w:r>
              <w:rPr>
                <w:rFonts w:ascii="宋体" w:hAnsi="宋体" w:eastAsia="宋体" w:cs="宋体"/>
                <w:b w:val="0"/>
                <w:bCs w:val="0"/>
                <w:color w:val="000000"/>
                <w:sz w:val="18"/>
                <w:highlight w:val="none"/>
              </w:rPr>
              <w:t>微课视频</w:t>
            </w:r>
          </w:p>
        </w:tc>
        <w:tc>
          <w:tcPr>
            <w:tcW w:w="5317"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20"/>
              <w:ind w:firstLine="5"/>
              <w:jc w:val="left"/>
              <w:rPr>
                <w:b w:val="0"/>
                <w:bCs w:val="0"/>
                <w:highlight w:val="none"/>
              </w:rPr>
            </w:pPr>
            <w:r>
              <w:rPr>
                <w:rFonts w:hint="eastAsia" w:ascii="宋体" w:hAnsi="宋体" w:eastAsia="宋体" w:cs="宋体"/>
                <w:b w:val="0"/>
                <w:bCs w:val="0"/>
                <w:color w:val="000000"/>
                <w:sz w:val="18"/>
                <w:highlight w:val="none"/>
              </w:rPr>
              <w:t>知识讲解视频：根据教学任务和教学目标，搭建短视频的内容设计框架。企业任务主要为进行视频拍摄和后期制作视频，视频包含片头片尾，MP4 格式 5-15 分钟/个；可根据具体知识点或技能点调整。</w:t>
            </w:r>
          </w:p>
        </w:tc>
        <w:tc>
          <w:tcPr>
            <w:tcW w:w="571"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20"/>
              <w:ind w:firstLine="5"/>
              <w:jc w:val="center"/>
              <w:rPr>
                <w:b w:val="0"/>
                <w:bCs w:val="0"/>
                <w:highlight w:val="none"/>
              </w:rPr>
            </w:pPr>
            <w:r>
              <w:rPr>
                <w:rFonts w:hint="eastAsia" w:ascii="宋体" w:hAnsi="宋体" w:eastAsia="宋体" w:cs="宋体"/>
                <w:b w:val="0"/>
                <w:bCs w:val="0"/>
                <w:color w:val="000000"/>
                <w:sz w:val="18"/>
                <w:highlight w:val="none"/>
                <w:lang w:val="en-US" w:eastAsia="zh-CN"/>
              </w:rPr>
              <w:t>&gt;=32</w:t>
            </w:r>
            <w:r>
              <w:rPr>
                <w:rFonts w:ascii="宋体" w:hAnsi="宋体" w:eastAsia="宋体" w:cs="宋体"/>
                <w:b w:val="0"/>
                <w:bCs w:val="0"/>
                <w:color w:val="000000"/>
                <w:sz w:val="18"/>
                <w:highlight w:val="none"/>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8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20"/>
              <w:ind w:firstLine="5"/>
              <w:jc w:val="center"/>
              <w:rPr>
                <w:rFonts w:hint="default" w:eastAsiaTheme="minorEastAsia"/>
                <w:b w:val="0"/>
                <w:bCs w:val="0"/>
                <w:highlight w:val="none"/>
                <w:lang w:val="en-US" w:eastAsia="zh-CN"/>
              </w:rPr>
            </w:pPr>
            <w:r>
              <w:rPr>
                <w:rFonts w:hint="eastAsia" w:ascii="宋体" w:hAnsi="宋体" w:eastAsia="宋体" w:cs="宋体"/>
                <w:b w:val="0"/>
                <w:bCs w:val="0"/>
                <w:color w:val="000000"/>
                <w:sz w:val="18"/>
                <w:highlight w:val="none"/>
                <w:lang w:val="en-US" w:eastAsia="zh-CN"/>
              </w:rPr>
              <w:t>8</w:t>
            </w:r>
          </w:p>
        </w:tc>
        <w:tc>
          <w:tcPr>
            <w:tcW w:w="1106"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20"/>
              <w:ind w:firstLine="5"/>
              <w:jc w:val="center"/>
              <w:rPr>
                <w:rFonts w:hint="default" w:eastAsia="宋体"/>
                <w:b/>
                <w:bCs/>
                <w:highlight w:val="none"/>
                <w:lang w:val="en-US" w:eastAsia="zh-CN"/>
              </w:rPr>
            </w:pPr>
            <w:r>
              <w:rPr>
                <w:rFonts w:hint="eastAsia" w:ascii="宋体" w:hAnsi="宋体" w:eastAsia="宋体" w:cs="宋体"/>
                <w:b/>
                <w:bCs/>
                <w:color w:val="000000"/>
                <w:sz w:val="18"/>
                <w:highlight w:val="none"/>
                <w:lang w:val="en-US" w:eastAsia="zh-CN"/>
              </w:rPr>
              <w:t>[</w:t>
            </w:r>
            <w:r>
              <w:rPr>
                <w:rFonts w:ascii="宋体" w:hAnsi="宋体" w:eastAsia="宋体" w:cs="宋体"/>
                <w:b/>
                <w:bCs/>
                <w:color w:val="000000"/>
                <w:sz w:val="18"/>
                <w:highlight w:val="none"/>
              </w:rPr>
              <w:t>指标项</w:t>
            </w:r>
            <w:r>
              <w:rPr>
                <w:rFonts w:hint="eastAsia" w:ascii="宋体" w:hAnsi="宋体" w:eastAsia="宋体" w:cs="宋体"/>
                <w:b/>
                <w:bCs/>
                <w:color w:val="000000"/>
                <w:sz w:val="18"/>
                <w:highlight w:val="none"/>
                <w:lang w:val="en-US" w:eastAsia="zh-CN"/>
              </w:rPr>
              <w:t>52]</w:t>
            </w:r>
          </w:p>
        </w:tc>
        <w:tc>
          <w:tcPr>
            <w:tcW w:w="931"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20"/>
              <w:ind w:firstLine="5"/>
              <w:jc w:val="center"/>
              <w:rPr>
                <w:b w:val="0"/>
                <w:bCs w:val="0"/>
                <w:highlight w:val="none"/>
              </w:rPr>
            </w:pPr>
            <w:r>
              <w:rPr>
                <w:rFonts w:ascii="宋体" w:hAnsi="宋体" w:eastAsia="宋体" w:cs="宋体"/>
                <w:b w:val="0"/>
                <w:bCs w:val="0"/>
                <w:color w:val="000000"/>
                <w:sz w:val="18"/>
                <w:highlight w:val="none"/>
              </w:rPr>
              <w:t>动画</w:t>
            </w:r>
          </w:p>
        </w:tc>
        <w:tc>
          <w:tcPr>
            <w:tcW w:w="5317"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20"/>
              <w:ind w:firstLine="5"/>
              <w:jc w:val="left"/>
              <w:rPr>
                <w:b w:val="0"/>
                <w:bCs w:val="0"/>
                <w:highlight w:val="none"/>
              </w:rPr>
            </w:pPr>
            <w:r>
              <w:rPr>
                <w:rFonts w:hint="eastAsia" w:ascii="宋体" w:hAnsi="宋体" w:eastAsia="宋体" w:cs="宋体"/>
                <w:b w:val="0"/>
                <w:bCs w:val="0"/>
                <w:color w:val="000000"/>
                <w:sz w:val="18"/>
                <w:highlight w:val="none"/>
              </w:rPr>
              <w:t>采用二维动画软件开发完成的动画教学资源。可以是以人物对话的形式，展现一个案例、事例、故事、示范,也可以是对 知识的讲解进行展开，以MP4格式存储（时长一般不超过3分钟）讲解型的动画，或者以图文形式展现一个概念原理、发展流程、推演变化、组织结构、分类特征等抽象的知识具象化； 以MP4格式或SWF格式存储（时长一般不超过 15 秒）的原理型动画。</w:t>
            </w:r>
          </w:p>
        </w:tc>
        <w:tc>
          <w:tcPr>
            <w:tcW w:w="571"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20"/>
              <w:ind w:firstLine="5"/>
              <w:jc w:val="center"/>
              <w:rPr>
                <w:b w:val="0"/>
                <w:bCs w:val="0"/>
                <w:highlight w:val="none"/>
              </w:rPr>
            </w:pPr>
            <w:r>
              <w:rPr>
                <w:rFonts w:hint="eastAsia" w:ascii="宋体" w:hAnsi="宋体" w:eastAsia="宋体" w:cs="宋体"/>
                <w:b w:val="0"/>
                <w:bCs w:val="0"/>
                <w:color w:val="000000"/>
                <w:sz w:val="18"/>
                <w:highlight w:val="none"/>
                <w:lang w:val="en-US" w:eastAsia="zh-CN"/>
              </w:rPr>
              <w:t>20</w:t>
            </w:r>
            <w:r>
              <w:rPr>
                <w:rFonts w:ascii="宋体" w:hAnsi="宋体" w:eastAsia="宋体" w:cs="宋体"/>
                <w:b w:val="0"/>
                <w:bCs w:val="0"/>
                <w:color w:val="000000"/>
                <w:sz w:val="18"/>
                <w:highlight w:val="none"/>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8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20"/>
              <w:ind w:firstLine="5"/>
              <w:jc w:val="center"/>
              <w:rPr>
                <w:rFonts w:hint="default" w:eastAsiaTheme="minorEastAsia"/>
                <w:b w:val="0"/>
                <w:bCs w:val="0"/>
                <w:highlight w:val="none"/>
                <w:lang w:val="en-US" w:eastAsia="zh-CN"/>
              </w:rPr>
            </w:pPr>
            <w:r>
              <w:rPr>
                <w:rFonts w:hint="eastAsia" w:ascii="宋体" w:hAnsi="宋体" w:eastAsia="宋体" w:cs="宋体"/>
                <w:b w:val="0"/>
                <w:bCs w:val="0"/>
                <w:color w:val="000000"/>
                <w:sz w:val="18"/>
                <w:highlight w:val="none"/>
                <w:lang w:val="en-US" w:eastAsia="zh-CN"/>
              </w:rPr>
              <w:t>9</w:t>
            </w:r>
          </w:p>
        </w:tc>
        <w:tc>
          <w:tcPr>
            <w:tcW w:w="1106"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20"/>
              <w:ind w:firstLine="5"/>
              <w:jc w:val="center"/>
              <w:rPr>
                <w:rFonts w:hint="eastAsia" w:eastAsia="宋体"/>
                <w:b/>
                <w:bCs/>
                <w:highlight w:val="none"/>
                <w:lang w:eastAsia="zh-CN"/>
              </w:rPr>
            </w:pPr>
            <w:r>
              <w:rPr>
                <w:rFonts w:hint="eastAsia" w:ascii="宋体" w:hAnsi="宋体" w:eastAsia="宋体" w:cs="宋体"/>
                <w:b/>
                <w:bCs/>
                <w:color w:val="000000"/>
                <w:sz w:val="18"/>
                <w:highlight w:val="none"/>
                <w:lang w:val="en-US" w:eastAsia="zh-CN"/>
              </w:rPr>
              <w:t>[</w:t>
            </w:r>
            <w:r>
              <w:rPr>
                <w:rFonts w:ascii="宋体" w:hAnsi="宋体" w:eastAsia="宋体" w:cs="宋体"/>
                <w:b/>
                <w:bCs/>
                <w:color w:val="000000"/>
                <w:sz w:val="18"/>
                <w:highlight w:val="none"/>
              </w:rPr>
              <w:t>指标项</w:t>
            </w:r>
            <w:r>
              <w:rPr>
                <w:rFonts w:hint="eastAsia" w:ascii="宋体" w:hAnsi="宋体" w:eastAsia="宋体" w:cs="宋体"/>
                <w:b/>
                <w:bCs/>
                <w:color w:val="000000"/>
                <w:sz w:val="18"/>
                <w:highlight w:val="none"/>
                <w:lang w:val="en-US" w:eastAsia="zh-CN"/>
              </w:rPr>
              <w:t>53]</w:t>
            </w:r>
          </w:p>
        </w:tc>
        <w:tc>
          <w:tcPr>
            <w:tcW w:w="931"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20"/>
              <w:ind w:firstLine="5"/>
              <w:jc w:val="center"/>
              <w:rPr>
                <w:b w:val="0"/>
                <w:bCs w:val="0"/>
                <w:highlight w:val="none"/>
              </w:rPr>
            </w:pPr>
            <w:r>
              <w:rPr>
                <w:rFonts w:ascii="宋体" w:hAnsi="宋体" w:eastAsia="宋体" w:cs="宋体"/>
                <w:b w:val="0"/>
                <w:bCs w:val="0"/>
                <w:color w:val="000000"/>
                <w:sz w:val="18"/>
                <w:highlight w:val="none"/>
              </w:rPr>
              <w:t>作业、试题库</w:t>
            </w:r>
          </w:p>
        </w:tc>
        <w:tc>
          <w:tcPr>
            <w:tcW w:w="5317"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20"/>
              <w:ind w:firstLine="5"/>
              <w:jc w:val="left"/>
              <w:rPr>
                <w:b w:val="0"/>
                <w:bCs w:val="0"/>
                <w:highlight w:val="none"/>
              </w:rPr>
            </w:pPr>
            <w:r>
              <w:rPr>
                <w:rFonts w:hint="eastAsia" w:ascii="宋体" w:hAnsi="宋体" w:eastAsia="宋体" w:cs="宋体"/>
                <w:b w:val="0"/>
                <w:bCs w:val="0"/>
                <w:color w:val="000000"/>
                <w:sz w:val="18"/>
                <w:highlight w:val="none"/>
              </w:rPr>
              <w:t>配套在线试题库，包括以下基础题型：单项选择题、多项选择题、判断题、填空题、问答题、综合题。每一道题目都由题干、选项（仅指选择题）、答案（或参考答案)、解析等部分组成。按校方教师提供的内容进行排版、美化。</w:t>
            </w:r>
          </w:p>
        </w:tc>
        <w:tc>
          <w:tcPr>
            <w:tcW w:w="571"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20"/>
              <w:ind w:firstLine="5"/>
              <w:jc w:val="center"/>
              <w:rPr>
                <w:b w:val="0"/>
                <w:bCs w:val="0"/>
                <w:highlight w:val="none"/>
              </w:rPr>
            </w:pPr>
            <w:r>
              <w:rPr>
                <w:rFonts w:hint="eastAsia" w:ascii="宋体" w:hAnsi="宋体" w:eastAsia="宋体" w:cs="宋体"/>
                <w:b w:val="0"/>
                <w:bCs w:val="0"/>
                <w:color w:val="000000"/>
                <w:sz w:val="18"/>
                <w:highlight w:val="none"/>
                <w:lang w:val="en-US" w:eastAsia="zh-CN"/>
              </w:rPr>
              <w:t>1</w:t>
            </w:r>
            <w:r>
              <w:rPr>
                <w:rFonts w:ascii="宋体" w:hAnsi="宋体" w:eastAsia="宋体" w:cs="宋体"/>
                <w:b w:val="0"/>
                <w:bCs w:val="0"/>
                <w:color w:val="000000"/>
                <w:sz w:val="18"/>
                <w:highlight w:val="none"/>
              </w:rPr>
              <w:t>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8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20"/>
              <w:ind w:firstLine="5"/>
              <w:jc w:val="center"/>
              <w:rPr>
                <w:rFonts w:hint="default" w:eastAsia="宋体"/>
                <w:b w:val="0"/>
                <w:bCs w:val="0"/>
                <w:highlight w:val="none"/>
                <w:lang w:val="en-US" w:eastAsia="zh-CN"/>
              </w:rPr>
            </w:pPr>
            <w:r>
              <w:rPr>
                <w:rFonts w:hint="eastAsia" w:ascii="宋体" w:hAnsi="宋体" w:eastAsia="宋体" w:cs="宋体"/>
                <w:b w:val="0"/>
                <w:bCs w:val="0"/>
                <w:color w:val="000000"/>
                <w:sz w:val="18"/>
                <w:highlight w:val="none"/>
                <w:lang w:val="en-US" w:eastAsia="zh-CN"/>
              </w:rPr>
              <w:t>10</w:t>
            </w:r>
          </w:p>
        </w:tc>
        <w:tc>
          <w:tcPr>
            <w:tcW w:w="1106"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20"/>
              <w:ind w:firstLine="5"/>
              <w:jc w:val="center"/>
              <w:rPr>
                <w:rFonts w:hint="eastAsia" w:eastAsia="宋体"/>
                <w:b/>
                <w:bCs/>
                <w:highlight w:val="none"/>
                <w:lang w:eastAsia="zh-CN"/>
              </w:rPr>
            </w:pPr>
            <w:r>
              <w:rPr>
                <w:rFonts w:hint="eastAsia" w:ascii="宋体" w:hAnsi="宋体" w:eastAsia="宋体" w:cs="宋体"/>
                <w:b/>
                <w:bCs/>
                <w:color w:val="000000"/>
                <w:sz w:val="18"/>
                <w:highlight w:val="none"/>
                <w:lang w:val="en-US" w:eastAsia="zh-CN"/>
              </w:rPr>
              <w:t>[</w:t>
            </w:r>
            <w:r>
              <w:rPr>
                <w:rFonts w:ascii="宋体" w:hAnsi="宋体" w:eastAsia="宋体" w:cs="宋体"/>
                <w:b/>
                <w:bCs/>
                <w:color w:val="000000"/>
                <w:sz w:val="18"/>
                <w:highlight w:val="none"/>
              </w:rPr>
              <w:t>指标项</w:t>
            </w:r>
            <w:r>
              <w:rPr>
                <w:rFonts w:hint="eastAsia" w:ascii="宋体" w:hAnsi="宋体" w:eastAsia="宋体" w:cs="宋体"/>
                <w:b/>
                <w:bCs/>
                <w:color w:val="000000"/>
                <w:sz w:val="18"/>
                <w:highlight w:val="none"/>
                <w:lang w:val="en-US" w:eastAsia="zh-CN"/>
              </w:rPr>
              <w:t>54]</w:t>
            </w:r>
          </w:p>
        </w:tc>
        <w:tc>
          <w:tcPr>
            <w:tcW w:w="931"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20"/>
              <w:ind w:firstLine="5"/>
              <w:jc w:val="center"/>
              <w:rPr>
                <w:b w:val="0"/>
                <w:bCs w:val="0"/>
                <w:highlight w:val="none"/>
              </w:rPr>
            </w:pPr>
            <w:r>
              <w:rPr>
                <w:rFonts w:ascii="宋体" w:hAnsi="宋体" w:eastAsia="宋体" w:cs="宋体"/>
                <w:b w:val="0"/>
                <w:bCs w:val="0"/>
                <w:color w:val="000000"/>
                <w:sz w:val="18"/>
                <w:highlight w:val="none"/>
              </w:rPr>
              <w:t>课程评价标准</w:t>
            </w:r>
          </w:p>
        </w:tc>
        <w:tc>
          <w:tcPr>
            <w:tcW w:w="5317"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20"/>
              <w:ind w:firstLine="5"/>
              <w:jc w:val="left"/>
              <w:rPr>
                <w:rFonts w:hint="eastAsia" w:ascii="宋体" w:hAnsi="宋体" w:eastAsia="宋体" w:cs="宋体"/>
                <w:b w:val="0"/>
                <w:bCs w:val="0"/>
                <w:color w:val="000000"/>
                <w:sz w:val="18"/>
                <w:highlight w:val="none"/>
              </w:rPr>
            </w:pPr>
            <w:r>
              <w:rPr>
                <w:rFonts w:hint="eastAsia" w:ascii="宋体" w:hAnsi="宋体" w:eastAsia="宋体" w:cs="宋体"/>
                <w:b w:val="0"/>
                <w:bCs w:val="0"/>
                <w:color w:val="000000"/>
                <w:sz w:val="18"/>
                <w:highlight w:val="none"/>
              </w:rPr>
              <w:t>用于考核本门课程总体成绩的考核标准。</w:t>
            </w:r>
          </w:p>
          <w:p>
            <w:pPr>
              <w:pStyle w:val="20"/>
              <w:ind w:firstLine="5"/>
              <w:jc w:val="left"/>
              <w:rPr>
                <w:b w:val="0"/>
                <w:bCs w:val="0"/>
                <w:highlight w:val="none"/>
              </w:rPr>
            </w:pPr>
            <w:r>
              <w:rPr>
                <w:rFonts w:hint="eastAsia" w:ascii="宋体" w:hAnsi="宋体" w:eastAsia="宋体" w:cs="宋体"/>
                <w:b w:val="0"/>
                <w:bCs w:val="0"/>
                <w:color w:val="000000"/>
                <w:sz w:val="18"/>
                <w:highlight w:val="none"/>
              </w:rPr>
              <w:t>在专家指导下，形成课程多元评量标准，并形成专业课程实施与评价资料包，含：1）课程实施分析表；2）课程总结分析表，按校方教师提供的内容进行排版、美化。</w:t>
            </w:r>
          </w:p>
        </w:tc>
        <w:tc>
          <w:tcPr>
            <w:tcW w:w="571"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20"/>
              <w:ind w:firstLine="5"/>
              <w:jc w:val="center"/>
              <w:rPr>
                <w:b w:val="0"/>
                <w:bCs w:val="0"/>
                <w:highlight w:val="none"/>
              </w:rPr>
            </w:pPr>
            <w:r>
              <w:rPr>
                <w:rFonts w:hint="eastAsia" w:ascii="宋体" w:hAnsi="宋体" w:eastAsia="宋体" w:cs="宋体"/>
                <w:b w:val="0"/>
                <w:bCs w:val="0"/>
                <w:color w:val="000000"/>
                <w:sz w:val="18"/>
                <w:highlight w:val="none"/>
                <w:lang w:val="en-US" w:eastAsia="zh-CN"/>
              </w:rPr>
              <w:t>1</w:t>
            </w:r>
            <w:r>
              <w:rPr>
                <w:rFonts w:ascii="宋体" w:hAnsi="宋体" w:eastAsia="宋体" w:cs="宋体"/>
                <w:b w:val="0"/>
                <w:bCs w:val="0"/>
                <w:color w:val="000000"/>
                <w:sz w:val="18"/>
                <w:highlight w:val="none"/>
              </w:rPr>
              <w:t>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8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20"/>
              <w:ind w:firstLine="5"/>
              <w:jc w:val="center"/>
              <w:rPr>
                <w:rFonts w:hint="eastAsia" w:eastAsia="宋体"/>
                <w:b w:val="0"/>
                <w:bCs w:val="0"/>
                <w:highlight w:val="none"/>
                <w:lang w:eastAsia="zh-CN"/>
              </w:rPr>
            </w:pPr>
            <w:r>
              <w:rPr>
                <w:rFonts w:ascii="宋体" w:hAnsi="宋体" w:eastAsia="宋体" w:cs="宋体"/>
                <w:b w:val="0"/>
                <w:bCs w:val="0"/>
                <w:color w:val="000000"/>
                <w:sz w:val="18"/>
                <w:highlight w:val="none"/>
              </w:rPr>
              <w:t>1</w:t>
            </w:r>
            <w:r>
              <w:rPr>
                <w:rFonts w:hint="eastAsia" w:ascii="宋体" w:hAnsi="宋体" w:eastAsia="宋体" w:cs="宋体"/>
                <w:b w:val="0"/>
                <w:bCs w:val="0"/>
                <w:color w:val="000000"/>
                <w:sz w:val="18"/>
                <w:highlight w:val="none"/>
                <w:lang w:val="en-US" w:eastAsia="zh-CN"/>
              </w:rPr>
              <w:t>1</w:t>
            </w:r>
          </w:p>
        </w:tc>
        <w:tc>
          <w:tcPr>
            <w:tcW w:w="1106"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20"/>
              <w:ind w:firstLine="5"/>
              <w:jc w:val="center"/>
              <w:rPr>
                <w:rFonts w:hint="eastAsia" w:eastAsia="宋体"/>
                <w:b/>
                <w:bCs/>
                <w:highlight w:val="none"/>
                <w:lang w:eastAsia="zh-CN"/>
              </w:rPr>
            </w:pPr>
            <w:r>
              <w:rPr>
                <w:rFonts w:hint="eastAsia" w:ascii="宋体" w:hAnsi="宋体" w:eastAsia="宋体" w:cs="宋体"/>
                <w:b/>
                <w:bCs/>
                <w:color w:val="000000"/>
                <w:sz w:val="18"/>
                <w:highlight w:val="none"/>
                <w:lang w:val="en-US" w:eastAsia="zh-CN"/>
              </w:rPr>
              <w:t>[</w:t>
            </w:r>
            <w:r>
              <w:rPr>
                <w:rFonts w:ascii="宋体" w:hAnsi="宋体" w:eastAsia="宋体" w:cs="宋体"/>
                <w:b/>
                <w:bCs/>
                <w:color w:val="000000"/>
                <w:sz w:val="18"/>
                <w:highlight w:val="none"/>
              </w:rPr>
              <w:t>指标项</w:t>
            </w:r>
            <w:r>
              <w:rPr>
                <w:rFonts w:hint="eastAsia" w:ascii="宋体" w:hAnsi="宋体" w:eastAsia="宋体" w:cs="宋体"/>
                <w:b/>
                <w:bCs/>
                <w:color w:val="000000"/>
                <w:sz w:val="18"/>
                <w:highlight w:val="none"/>
                <w:lang w:val="en-US" w:eastAsia="zh-CN"/>
              </w:rPr>
              <w:t>55]</w:t>
            </w:r>
          </w:p>
        </w:tc>
        <w:tc>
          <w:tcPr>
            <w:tcW w:w="931"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20"/>
              <w:ind w:firstLine="5"/>
              <w:jc w:val="center"/>
              <w:rPr>
                <w:b w:val="0"/>
                <w:bCs w:val="0"/>
                <w:highlight w:val="none"/>
              </w:rPr>
            </w:pPr>
            <w:r>
              <w:rPr>
                <w:rFonts w:ascii="宋体" w:hAnsi="宋体" w:eastAsia="宋体" w:cs="宋体"/>
                <w:b w:val="0"/>
                <w:bCs w:val="0"/>
                <w:color w:val="000000"/>
                <w:sz w:val="18"/>
                <w:highlight w:val="none"/>
              </w:rPr>
              <w:t>片头片尾定制</w:t>
            </w:r>
          </w:p>
        </w:tc>
        <w:tc>
          <w:tcPr>
            <w:tcW w:w="5317"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20"/>
              <w:ind w:firstLine="5"/>
              <w:jc w:val="left"/>
              <w:rPr>
                <w:b w:val="0"/>
                <w:bCs w:val="0"/>
                <w:highlight w:val="none"/>
              </w:rPr>
            </w:pPr>
            <w:r>
              <w:rPr>
                <w:rFonts w:hint="eastAsia" w:ascii="宋体" w:hAnsi="宋体" w:eastAsia="宋体" w:cs="宋体"/>
                <w:b w:val="0"/>
                <w:bCs w:val="0"/>
                <w:color w:val="000000"/>
                <w:sz w:val="18"/>
                <w:highlight w:val="none"/>
              </w:rPr>
              <w:t>片头、片尾分别时长一般不15秒，艺术化处理，要具有各门课程所对应的的视频元素，观感时尚和科技感十足，体现课程的精美。其中包括:学校 LOGO、课程名称、章节、主讲教师姓名、专业技术职务、单位等信息；片尾包括制作单位、录制时间等信息。</w:t>
            </w:r>
          </w:p>
        </w:tc>
        <w:tc>
          <w:tcPr>
            <w:tcW w:w="571"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20"/>
              <w:ind w:firstLine="5"/>
              <w:jc w:val="center"/>
              <w:rPr>
                <w:b w:val="0"/>
                <w:bCs w:val="0"/>
                <w:highlight w:val="none"/>
              </w:rPr>
            </w:pPr>
            <w:r>
              <w:rPr>
                <w:rFonts w:hint="eastAsia" w:ascii="宋体" w:hAnsi="宋体" w:eastAsia="宋体" w:cs="宋体"/>
                <w:b w:val="0"/>
                <w:bCs w:val="0"/>
                <w:color w:val="000000"/>
                <w:sz w:val="18"/>
                <w:highlight w:val="none"/>
                <w:lang w:val="en-US" w:eastAsia="zh-CN"/>
              </w:rPr>
              <w:t>1</w:t>
            </w:r>
            <w:r>
              <w:rPr>
                <w:rFonts w:ascii="宋体" w:hAnsi="宋体" w:eastAsia="宋体" w:cs="宋体"/>
                <w:b w:val="0"/>
                <w:bCs w:val="0"/>
                <w:color w:val="000000"/>
                <w:sz w:val="18"/>
                <w:highlight w:val="none"/>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8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20"/>
              <w:ind w:firstLine="5"/>
              <w:jc w:val="center"/>
              <w:rPr>
                <w:rFonts w:hint="default" w:eastAsia="宋体"/>
                <w:b w:val="0"/>
                <w:bCs w:val="0"/>
                <w:highlight w:val="none"/>
                <w:lang w:val="en-US" w:eastAsia="zh-CN"/>
              </w:rPr>
            </w:pPr>
            <w:r>
              <w:rPr>
                <w:rFonts w:hint="eastAsia" w:ascii="宋体" w:hAnsi="宋体" w:eastAsia="宋体" w:cs="宋体"/>
                <w:b w:val="0"/>
                <w:bCs w:val="0"/>
                <w:color w:val="000000"/>
                <w:sz w:val="18"/>
                <w:highlight w:val="none"/>
                <w:lang w:val="en-US" w:eastAsia="zh-CN"/>
              </w:rPr>
              <w:t>12</w:t>
            </w:r>
          </w:p>
        </w:tc>
        <w:tc>
          <w:tcPr>
            <w:tcW w:w="1106"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20"/>
              <w:ind w:firstLine="5"/>
              <w:jc w:val="center"/>
              <w:rPr>
                <w:rFonts w:hint="eastAsia" w:eastAsia="宋体"/>
                <w:b/>
                <w:bCs/>
                <w:highlight w:val="none"/>
                <w:lang w:eastAsia="zh-CN"/>
              </w:rPr>
            </w:pPr>
            <w:r>
              <w:rPr>
                <w:rFonts w:hint="eastAsia" w:ascii="宋体" w:hAnsi="宋体" w:eastAsia="宋体" w:cs="宋体"/>
                <w:b/>
                <w:bCs/>
                <w:color w:val="000000"/>
                <w:sz w:val="18"/>
                <w:highlight w:val="none"/>
                <w:lang w:val="en-US" w:eastAsia="zh-CN"/>
              </w:rPr>
              <w:t>[</w:t>
            </w:r>
            <w:r>
              <w:rPr>
                <w:rFonts w:ascii="宋体" w:hAnsi="宋体" w:eastAsia="宋体" w:cs="宋体"/>
                <w:b/>
                <w:bCs/>
                <w:color w:val="000000"/>
                <w:sz w:val="18"/>
                <w:highlight w:val="none"/>
              </w:rPr>
              <w:t>指标项</w:t>
            </w:r>
            <w:r>
              <w:rPr>
                <w:rFonts w:hint="eastAsia" w:ascii="宋体" w:hAnsi="宋体" w:eastAsia="宋体" w:cs="宋体"/>
                <w:b/>
                <w:bCs/>
                <w:color w:val="000000"/>
                <w:sz w:val="18"/>
                <w:highlight w:val="none"/>
                <w:lang w:val="en-US" w:eastAsia="zh-CN"/>
              </w:rPr>
              <w:t>56]</w:t>
            </w:r>
          </w:p>
        </w:tc>
        <w:tc>
          <w:tcPr>
            <w:tcW w:w="931"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20"/>
              <w:ind w:firstLine="5"/>
              <w:jc w:val="center"/>
              <w:rPr>
                <w:b w:val="0"/>
                <w:bCs w:val="0"/>
                <w:highlight w:val="none"/>
              </w:rPr>
            </w:pPr>
            <w:r>
              <w:rPr>
                <w:rFonts w:ascii="宋体" w:hAnsi="宋体" w:eastAsia="宋体" w:cs="宋体"/>
                <w:b w:val="0"/>
                <w:bCs w:val="0"/>
                <w:color w:val="000000"/>
                <w:sz w:val="18"/>
                <w:highlight w:val="none"/>
              </w:rPr>
              <w:t>素材库</w:t>
            </w:r>
          </w:p>
        </w:tc>
        <w:tc>
          <w:tcPr>
            <w:tcW w:w="5317"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20"/>
              <w:ind w:firstLine="5"/>
              <w:jc w:val="left"/>
              <w:rPr>
                <w:b w:val="0"/>
                <w:bCs w:val="0"/>
                <w:highlight w:val="none"/>
              </w:rPr>
            </w:pPr>
            <w:r>
              <w:rPr>
                <w:rFonts w:hint="eastAsia" w:ascii="宋体" w:hAnsi="宋体" w:eastAsia="宋体" w:cs="宋体"/>
                <w:b w:val="0"/>
                <w:bCs w:val="0"/>
                <w:color w:val="000000"/>
                <w:sz w:val="18"/>
                <w:highlight w:val="none"/>
              </w:rPr>
              <w:t>根据技能点提供积件化素材，主要格式为动画、微视频、文档、图片，每个技能点需提供两个以上不同格式素材；与章节匹配。辅助校方教师搜集内容进行排版、美化。</w:t>
            </w:r>
          </w:p>
        </w:tc>
        <w:tc>
          <w:tcPr>
            <w:tcW w:w="571"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20"/>
              <w:ind w:firstLine="5"/>
              <w:jc w:val="center"/>
              <w:rPr>
                <w:b w:val="0"/>
                <w:bCs w:val="0"/>
                <w:highlight w:val="none"/>
              </w:rPr>
            </w:pPr>
          </w:p>
          <w:p>
            <w:pPr>
              <w:pStyle w:val="20"/>
              <w:ind w:firstLine="5"/>
              <w:jc w:val="center"/>
              <w:rPr>
                <w:b w:val="0"/>
                <w:bCs w:val="0"/>
                <w:highlight w:val="none"/>
              </w:rPr>
            </w:pPr>
            <w:r>
              <w:rPr>
                <w:rFonts w:hint="eastAsia" w:ascii="宋体" w:hAnsi="宋体" w:eastAsia="宋体" w:cs="宋体"/>
                <w:b w:val="0"/>
                <w:bCs w:val="0"/>
                <w:color w:val="000000"/>
                <w:sz w:val="18"/>
                <w:highlight w:val="none"/>
                <w:lang w:val="en-US" w:eastAsia="zh-CN"/>
              </w:rPr>
              <w:t>50</w:t>
            </w:r>
            <w:r>
              <w:rPr>
                <w:rFonts w:ascii="宋体" w:hAnsi="宋体" w:eastAsia="宋体" w:cs="宋体"/>
                <w:b w:val="0"/>
                <w:bCs w:val="0"/>
                <w:color w:val="000000"/>
                <w:sz w:val="18"/>
                <w:highlight w:val="none"/>
              </w:rPr>
              <w:t>个</w:t>
            </w:r>
          </w:p>
          <w:p>
            <w:pPr>
              <w:pStyle w:val="20"/>
              <w:ind w:firstLine="5"/>
              <w:jc w:val="center"/>
              <w:rPr>
                <w:b w:val="0"/>
                <w:bCs w:val="0"/>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8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center"/>
          </w:tcPr>
          <w:p>
            <w:pPr>
              <w:pStyle w:val="20"/>
              <w:ind w:firstLine="5"/>
              <w:jc w:val="center"/>
              <w:rPr>
                <w:rFonts w:hint="default" w:eastAsiaTheme="minorEastAsia"/>
                <w:b w:val="0"/>
                <w:bCs w:val="0"/>
                <w:highlight w:val="none"/>
                <w:lang w:val="en-US" w:eastAsia="zh-CN"/>
              </w:rPr>
            </w:pPr>
            <w:r>
              <w:rPr>
                <w:rFonts w:hint="eastAsia" w:ascii="宋体" w:hAnsi="宋体" w:eastAsia="宋体" w:cs="宋体"/>
                <w:b w:val="0"/>
                <w:bCs w:val="0"/>
                <w:color w:val="000000"/>
                <w:sz w:val="18"/>
                <w:highlight w:val="none"/>
                <w:lang w:val="en-US" w:eastAsia="zh-CN"/>
              </w:rPr>
              <w:t>13</w:t>
            </w:r>
          </w:p>
        </w:tc>
        <w:tc>
          <w:tcPr>
            <w:tcW w:w="1106"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20"/>
              <w:ind w:firstLine="5"/>
              <w:jc w:val="center"/>
              <w:rPr>
                <w:b/>
                <w:bCs/>
                <w:highlight w:val="none"/>
              </w:rPr>
            </w:pPr>
            <w:r>
              <w:rPr>
                <w:rFonts w:hint="eastAsia" w:ascii="宋体" w:hAnsi="宋体" w:eastAsia="宋体" w:cs="宋体"/>
                <w:b/>
                <w:bCs/>
                <w:color w:val="000000"/>
                <w:sz w:val="18"/>
                <w:highlight w:val="none"/>
                <w:lang w:val="en-US" w:eastAsia="zh-CN"/>
              </w:rPr>
              <w:t>[</w:t>
            </w:r>
            <w:r>
              <w:rPr>
                <w:rFonts w:ascii="宋体" w:hAnsi="宋体" w:eastAsia="宋体" w:cs="宋体"/>
                <w:b/>
                <w:bCs/>
                <w:color w:val="000000"/>
                <w:sz w:val="18"/>
                <w:highlight w:val="none"/>
              </w:rPr>
              <w:t>指标项</w:t>
            </w:r>
            <w:r>
              <w:rPr>
                <w:rFonts w:hint="eastAsia" w:ascii="宋体" w:hAnsi="宋体" w:eastAsia="宋体" w:cs="宋体"/>
                <w:b/>
                <w:bCs/>
                <w:color w:val="000000"/>
                <w:sz w:val="18"/>
                <w:highlight w:val="none"/>
                <w:lang w:val="en-US" w:eastAsia="zh-CN"/>
              </w:rPr>
              <w:t>57]</w:t>
            </w:r>
          </w:p>
        </w:tc>
        <w:tc>
          <w:tcPr>
            <w:tcW w:w="931" w:type="dxa"/>
            <w:tcBorders>
              <w:top w:val="nil"/>
              <w:left w:val="nil"/>
              <w:bottom w:val="single" w:color="000000" w:sz="4" w:space="0"/>
              <w:right w:val="single" w:color="000000" w:sz="4" w:space="0"/>
            </w:tcBorders>
            <w:tcMar>
              <w:top w:w="0" w:type="dxa"/>
              <w:left w:w="0" w:type="dxa"/>
              <w:bottom w:w="0" w:type="dxa"/>
              <w:right w:w="0" w:type="dxa"/>
            </w:tcMar>
            <w:vAlign w:val="center"/>
          </w:tcPr>
          <w:p>
            <w:pPr>
              <w:pStyle w:val="20"/>
              <w:ind w:firstLine="5"/>
              <w:jc w:val="center"/>
              <w:rPr>
                <w:b w:val="0"/>
                <w:bCs w:val="0"/>
                <w:highlight w:val="none"/>
              </w:rPr>
            </w:pPr>
            <w:r>
              <w:rPr>
                <w:rFonts w:ascii="宋体" w:hAnsi="宋体" w:eastAsia="宋体" w:cs="宋体"/>
                <w:b w:val="0"/>
                <w:bCs w:val="0"/>
                <w:color w:val="000000"/>
                <w:sz w:val="18"/>
                <w:highlight w:val="none"/>
              </w:rPr>
              <w:t>课程编辑上线平台</w:t>
            </w:r>
          </w:p>
        </w:tc>
        <w:tc>
          <w:tcPr>
            <w:tcW w:w="5317"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20"/>
              <w:ind w:firstLine="5"/>
              <w:jc w:val="left"/>
              <w:rPr>
                <w:b w:val="0"/>
                <w:bCs w:val="0"/>
                <w:highlight w:val="none"/>
              </w:rPr>
            </w:pPr>
            <w:r>
              <w:rPr>
                <w:rFonts w:hint="eastAsia" w:ascii="宋体" w:hAnsi="宋体" w:eastAsia="宋体" w:cs="宋体"/>
                <w:b w:val="0"/>
                <w:bCs w:val="0"/>
                <w:color w:val="000000"/>
                <w:sz w:val="18"/>
                <w:highlight w:val="none"/>
              </w:rPr>
              <w:t>协助教师将完成的课程资源上传至校方指定平台并正常运行。（每门课程1项）。</w:t>
            </w:r>
          </w:p>
        </w:tc>
        <w:tc>
          <w:tcPr>
            <w:tcW w:w="571"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20"/>
              <w:ind w:firstLine="5"/>
              <w:jc w:val="center"/>
              <w:rPr>
                <w:b w:val="0"/>
                <w:bCs w:val="0"/>
                <w:highlight w:val="none"/>
              </w:rPr>
            </w:pPr>
            <w:r>
              <w:rPr>
                <w:rFonts w:hint="eastAsia" w:ascii="宋体" w:hAnsi="宋体" w:eastAsia="宋体" w:cs="宋体"/>
                <w:b w:val="0"/>
                <w:bCs w:val="0"/>
                <w:color w:val="000000"/>
                <w:sz w:val="18"/>
                <w:highlight w:val="none"/>
                <w:lang w:val="en-US" w:eastAsia="zh-CN"/>
              </w:rPr>
              <w:t>1</w:t>
            </w:r>
            <w:r>
              <w:rPr>
                <w:rFonts w:ascii="宋体" w:hAnsi="宋体" w:eastAsia="宋体" w:cs="宋体"/>
                <w:b w:val="0"/>
                <w:bCs w:val="0"/>
                <w:color w:val="000000"/>
                <w:sz w:val="18"/>
                <w:highlight w:val="none"/>
              </w:rPr>
              <w:t>项</w:t>
            </w:r>
          </w:p>
        </w:tc>
      </w:tr>
    </w:tbl>
    <w:p>
      <w:pPr>
        <w:pStyle w:val="2"/>
        <w:numPr>
          <w:ilvl w:val="0"/>
          <w:numId w:val="0"/>
        </w:numPr>
        <w:rPr>
          <w:rFonts w:hint="eastAsia"/>
          <w:sz w:val="22"/>
          <w:szCs w:val="22"/>
          <w:highlight w:val="none"/>
          <w:lang w:val="en-US" w:eastAsia="zh-CN"/>
        </w:rPr>
      </w:pPr>
    </w:p>
    <w:p>
      <w:pPr>
        <w:pStyle w:val="2"/>
        <w:rPr>
          <w:rFonts w:hint="default"/>
          <w:sz w:val="22"/>
          <w:szCs w:val="22"/>
          <w:highlight w:val="none"/>
          <w:lang w:val="en-US" w:eastAsia="zh-CN"/>
        </w:rPr>
      </w:pPr>
      <w:r>
        <w:rPr>
          <w:rFonts w:ascii="宋体" w:hAnsi="宋体" w:eastAsia="宋体" w:cs="宋体"/>
          <w:b/>
          <w:kern w:val="0"/>
          <w:sz w:val="22"/>
          <w:szCs w:val="22"/>
          <w:highlight w:val="none"/>
          <w:lang w:eastAsia="zh-Hans"/>
        </w:rPr>
        <w:t>[指标项</w:t>
      </w:r>
      <w:r>
        <w:rPr>
          <w:rFonts w:hint="eastAsia" w:ascii="宋体" w:hAnsi="宋体" w:eastAsia="宋体" w:cs="宋体"/>
          <w:b/>
          <w:kern w:val="0"/>
          <w:sz w:val="22"/>
          <w:szCs w:val="22"/>
          <w:highlight w:val="none"/>
          <w:lang w:val="en-US" w:eastAsia="zh-CN"/>
        </w:rPr>
        <w:t>58</w:t>
      </w:r>
      <w:r>
        <w:rPr>
          <w:rFonts w:ascii="宋体" w:hAnsi="宋体" w:eastAsia="宋体" w:cs="宋体"/>
          <w:b/>
          <w:kern w:val="0"/>
          <w:sz w:val="22"/>
          <w:szCs w:val="22"/>
          <w:highlight w:val="none"/>
          <w:lang w:eastAsia="zh-Hans"/>
        </w:rPr>
        <w:t>]</w:t>
      </w:r>
    </w:p>
    <w:p>
      <w:pPr>
        <w:pStyle w:val="20"/>
        <w:spacing w:after="150"/>
        <w:jc w:val="both"/>
        <w:rPr>
          <w:rFonts w:ascii="宋体" w:hAnsi="宋体" w:eastAsia="宋体" w:cs="宋体"/>
          <w:b w:val="0"/>
          <w:bCs w:val="0"/>
          <w:sz w:val="22"/>
          <w:szCs w:val="22"/>
          <w:highlight w:val="none"/>
        </w:rPr>
      </w:pPr>
      <w:r>
        <w:rPr>
          <w:rFonts w:hint="eastAsia" w:ascii="宋体" w:hAnsi="宋体" w:eastAsia="宋体" w:cs="宋体"/>
          <w:b w:val="0"/>
          <w:bCs w:val="0"/>
          <w:sz w:val="22"/>
          <w:szCs w:val="22"/>
          <w:highlight w:val="none"/>
          <w:lang w:val="en-US" w:eastAsia="zh-CN"/>
        </w:rPr>
        <w:t>4.3</w:t>
      </w:r>
      <w:r>
        <w:rPr>
          <w:rFonts w:ascii="宋体" w:hAnsi="宋体" w:eastAsia="宋体" w:cs="宋体"/>
          <w:b w:val="0"/>
          <w:bCs w:val="0"/>
          <w:sz w:val="22"/>
          <w:szCs w:val="22"/>
          <w:highlight w:val="none"/>
        </w:rPr>
        <w:t>视频内容频制作规范：</w:t>
      </w:r>
    </w:p>
    <w:p>
      <w:pPr>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val="en-US" w:eastAsia="zh-Hans" w:bidi="ar"/>
        </w:rPr>
        <w:t>（1）</w:t>
      </w:r>
      <w:r>
        <w:rPr>
          <w:rFonts w:hint="eastAsia" w:ascii="宋体" w:hAnsi="宋体" w:eastAsia="宋体" w:cs="宋体"/>
          <w:sz w:val="22"/>
          <w:szCs w:val="22"/>
          <w:highlight w:val="none"/>
          <w:lang w:bidi="ar"/>
        </w:rPr>
        <w:t>微课应该满足混合式在线开放课程教学模式要求，按授课单元录制，每个微课1-2个知识点 ，要求结构完整。每节微课 5-15 分钟。</w:t>
      </w:r>
    </w:p>
    <w:p>
      <w:pPr>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bidi="ar"/>
        </w:rPr>
        <w:t>（2）屏幕图像的构图合理，画面主体突出。人像及肢体动作以及配合讲授选用的板书、画板、教具实物、模型和实验设备等均不能超出镜头所及范围；</w:t>
      </w:r>
    </w:p>
    <w:p>
      <w:pPr>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bidi="ar"/>
        </w:rPr>
        <w:t>（3）演播室使用的背景采用彩色喷绘或电脑虚拟、实景等背景。背景的颜色、图案不易过多，应保持静态，画面应简洁、明快，有利于营造课堂气氛；</w:t>
      </w:r>
    </w:p>
    <w:p>
      <w:pPr>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bidi="ar"/>
        </w:rPr>
        <w:t>（4）摄像镜头应保持与主讲教师目光平视的角度。主讲教师不应较长时间仰视或俯视；</w:t>
      </w:r>
    </w:p>
    <w:p>
      <w:pPr>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bidi="ar"/>
        </w:rPr>
        <w:t>（5）使用资料、图片、外景实拍、实验和表演等形象化教学手段，应符合教学内容要求，与讲授内容联系紧密，手段选用恰当；</w:t>
      </w:r>
    </w:p>
    <w:p>
      <w:pPr>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bidi="ar"/>
        </w:rPr>
        <w:t>（6）选用影视作品或自拍素材，应注明素材来源。影视作品或自拍素材中涉及人物访谈内容时，除应加注人物介绍外，还应采用滚动式同声字幕；</w:t>
      </w:r>
    </w:p>
    <w:p>
      <w:pPr>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bidi="ar"/>
        </w:rPr>
        <w:t>（7）选用的资料、图片等素材画面应清楚，对于历史资料、图片应进行再加工。选用的资料、图片等素材应注明素材来源及原始信息（如字画的作品、生卒年月，影视片断的作品名 称、创作年代等信息）；</w:t>
      </w:r>
    </w:p>
    <w:p>
      <w:pPr>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bidi="ar"/>
        </w:rPr>
        <w:t>（8）动画的设 计与使用，要与课程内容相贴切，能够发挥良好的教学效果；</w:t>
      </w:r>
    </w:p>
    <w:p>
      <w:pPr>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bidi="ar"/>
        </w:rPr>
        <w:t>（9）动画的实现须流畅、合理、图像清晰，具有较强的可视性。</w:t>
      </w:r>
    </w:p>
    <w:p>
      <w:pPr>
        <w:pStyle w:val="2"/>
        <w:rPr>
          <w:rFonts w:ascii="宋体" w:hAnsi="宋体" w:eastAsia="宋体" w:cs="宋体"/>
          <w:b/>
          <w:kern w:val="0"/>
          <w:sz w:val="22"/>
          <w:szCs w:val="22"/>
          <w:highlight w:val="none"/>
          <w:lang w:eastAsia="zh-Hans"/>
        </w:rPr>
      </w:pPr>
    </w:p>
    <w:p>
      <w:pPr>
        <w:pStyle w:val="2"/>
        <w:rPr>
          <w:rFonts w:ascii="宋体" w:hAnsi="宋体" w:eastAsia="宋体" w:cs="宋体"/>
          <w:b/>
          <w:kern w:val="0"/>
          <w:sz w:val="22"/>
          <w:szCs w:val="22"/>
          <w:highlight w:val="none"/>
          <w:lang w:eastAsia="zh-Hans"/>
        </w:rPr>
      </w:pPr>
      <w:r>
        <w:rPr>
          <w:rFonts w:ascii="宋体" w:hAnsi="宋体" w:eastAsia="宋体" w:cs="宋体"/>
          <w:b/>
          <w:kern w:val="0"/>
          <w:sz w:val="22"/>
          <w:szCs w:val="22"/>
          <w:highlight w:val="none"/>
          <w:lang w:eastAsia="zh-Hans"/>
        </w:rPr>
        <w:t>[指标项</w:t>
      </w:r>
      <w:r>
        <w:rPr>
          <w:rFonts w:hint="eastAsia" w:ascii="宋体" w:hAnsi="宋体" w:eastAsia="宋体" w:cs="宋体"/>
          <w:b/>
          <w:kern w:val="0"/>
          <w:sz w:val="22"/>
          <w:szCs w:val="22"/>
          <w:highlight w:val="none"/>
          <w:lang w:val="en-US" w:eastAsia="zh-CN"/>
        </w:rPr>
        <w:t>59</w:t>
      </w:r>
      <w:r>
        <w:rPr>
          <w:rFonts w:ascii="宋体" w:hAnsi="宋体" w:eastAsia="宋体" w:cs="宋体"/>
          <w:b/>
          <w:kern w:val="0"/>
          <w:sz w:val="22"/>
          <w:szCs w:val="22"/>
          <w:highlight w:val="none"/>
          <w:lang w:eastAsia="zh-Hans"/>
        </w:rPr>
        <w:t>]</w:t>
      </w:r>
    </w:p>
    <w:p>
      <w:pPr>
        <w:pStyle w:val="11"/>
        <w:keepNext w:val="0"/>
        <w:keepLines w:val="0"/>
        <w:widowControl/>
        <w:numPr>
          <w:ilvl w:val="0"/>
          <w:numId w:val="0"/>
        </w:numPr>
        <w:suppressLineNumbers w:val="0"/>
        <w:spacing w:before="75" w:beforeAutospacing="0" w:after="75" w:afterAutospacing="0"/>
        <w:ind w:right="0" w:rightChars="0"/>
        <w:outlineLvl w:val="1"/>
        <w:rPr>
          <w:rFonts w:ascii="宋体" w:hAnsi="宋体" w:eastAsia="宋体" w:cs="宋体"/>
          <w:b w:val="0"/>
          <w:bCs w:val="0"/>
          <w:sz w:val="22"/>
          <w:szCs w:val="22"/>
          <w:highlight w:val="none"/>
        </w:rPr>
      </w:pPr>
      <w:r>
        <w:rPr>
          <w:rFonts w:hint="eastAsia" w:ascii="宋体" w:hAnsi="宋体" w:eastAsia="宋体" w:cs="宋体"/>
          <w:b w:val="0"/>
          <w:bCs w:val="0"/>
          <w:sz w:val="22"/>
          <w:szCs w:val="22"/>
          <w:highlight w:val="none"/>
          <w:lang w:val="en-US" w:eastAsia="zh-CN"/>
        </w:rPr>
        <w:t>4.4</w:t>
      </w:r>
      <w:r>
        <w:rPr>
          <w:rFonts w:ascii="宋体" w:hAnsi="宋体" w:eastAsia="宋体" w:cs="宋体"/>
          <w:b w:val="0"/>
          <w:bCs w:val="0"/>
          <w:sz w:val="22"/>
          <w:szCs w:val="22"/>
          <w:highlight w:val="none"/>
        </w:rPr>
        <w:t>视频技术规格：</w:t>
      </w:r>
    </w:p>
    <w:p>
      <w:pPr>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val="en-US" w:eastAsia="zh-CN" w:bidi="ar"/>
        </w:rPr>
        <w:t>（1）</w:t>
      </w:r>
      <w:r>
        <w:rPr>
          <w:rFonts w:hint="eastAsia" w:ascii="宋体" w:hAnsi="宋体" w:eastAsia="宋体" w:cs="宋体"/>
          <w:sz w:val="22"/>
          <w:szCs w:val="22"/>
          <w:highlight w:val="none"/>
          <w:lang w:bidi="ar"/>
        </w:rPr>
        <w:t>视频画质：采用4k高清格式，视频画面比例为 16：9，前期拍摄分辨率不低于 1920×1080；每秒画面不低于 25 帧，彩色视频素材每帧图像颜色均为真彩色。除特殊艺术效果外，保证影像色调准确、镜头运动稳定、画面构图简洁、明暗亮度适中、细节内容丰富、场面调度有序、剪辑节奏明快，避免出现质量低下、内容粗糙、拖泥带水的影像画面。使用基于人工智能的视频超高清转换软件对素材和成片画质进行提升，协助学校对重要影像资料中十分有价值的低分辨率老旧素材修复提升为高清素材，或者高清成片提升到4k画质，要求提升纹理细节和清晰度，提升帧率，提升亮度动态范围、色域空间和色域亮度，重建出不同亮度区间的细节信息，让色彩更加丰富平滑，让运动转场更加平滑流畅，达到高清和4k的输出标准。</w:t>
      </w:r>
    </w:p>
    <w:p>
      <w:pPr>
        <w:rPr>
          <w:rFonts w:hint="default" w:ascii="宋体" w:hAnsi="宋体" w:eastAsia="宋体" w:cs="宋体"/>
          <w:sz w:val="22"/>
          <w:szCs w:val="22"/>
          <w:highlight w:val="none"/>
          <w:lang w:val="en-US" w:eastAsia="zh-CN" w:bidi="ar"/>
        </w:rPr>
      </w:pPr>
      <w:r>
        <w:rPr>
          <w:rFonts w:hint="default" w:ascii="宋体" w:hAnsi="宋体" w:eastAsia="宋体" w:cs="宋体"/>
          <w:sz w:val="22"/>
          <w:szCs w:val="22"/>
          <w:highlight w:val="none"/>
          <w:lang w:val="en-US" w:eastAsia="zh-CN" w:bidi="ar"/>
        </w:rPr>
        <w:t>（2）</w:t>
      </w:r>
      <w:r>
        <w:rPr>
          <w:rFonts w:hint="eastAsia" w:ascii="宋体" w:hAnsi="宋体" w:eastAsia="宋体" w:cs="宋体"/>
          <w:sz w:val="22"/>
          <w:szCs w:val="22"/>
          <w:highlight w:val="none"/>
          <w:lang w:bidi="ar"/>
        </w:rPr>
        <w:t>（2）成片标准为1080P，交付格式为720P高清，双声道音频音效。保留剪辑源文件、1080P源文件、素材去版权处理。</w:t>
      </w:r>
    </w:p>
    <w:p>
      <w:pPr>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eastAsia="zh-CN" w:bidi="ar"/>
        </w:rPr>
        <w:t>（</w:t>
      </w:r>
      <w:r>
        <w:rPr>
          <w:rFonts w:hint="eastAsia" w:ascii="宋体" w:hAnsi="宋体" w:eastAsia="宋体" w:cs="宋体"/>
          <w:sz w:val="22"/>
          <w:szCs w:val="22"/>
          <w:highlight w:val="none"/>
          <w:lang w:val="en-US" w:eastAsia="zh-CN" w:bidi="ar"/>
        </w:rPr>
        <w:t>3</w:t>
      </w:r>
      <w:r>
        <w:rPr>
          <w:rFonts w:hint="eastAsia" w:ascii="宋体" w:hAnsi="宋体" w:eastAsia="宋体" w:cs="宋体"/>
          <w:sz w:val="22"/>
          <w:szCs w:val="22"/>
          <w:highlight w:val="none"/>
          <w:lang w:bidi="ar"/>
        </w:rPr>
        <w:t>）字幕的字体、大小、色彩搭配、摆放位置、停留时间、出入方式力求与其他要素（画面、解说词、音乐）配合适当，不能破坏原有画面。</w:t>
      </w:r>
    </w:p>
    <w:p>
      <w:pPr>
        <w:rPr>
          <w:rFonts w:hint="default" w:ascii="宋体" w:hAnsi="宋体" w:eastAsia="宋体" w:cs="宋体"/>
          <w:sz w:val="22"/>
          <w:szCs w:val="22"/>
          <w:highlight w:val="none"/>
          <w:lang w:val="en-US" w:eastAsia="zh-CN" w:bidi="ar"/>
        </w:rPr>
      </w:pPr>
      <w:r>
        <w:rPr>
          <w:rFonts w:hint="eastAsia" w:ascii="宋体" w:hAnsi="宋体" w:eastAsia="宋体" w:cs="宋体"/>
          <w:sz w:val="22"/>
          <w:szCs w:val="22"/>
          <w:highlight w:val="none"/>
          <w:lang w:bidi="ar"/>
        </w:rPr>
        <w:t>（</w:t>
      </w:r>
      <w:r>
        <w:rPr>
          <w:rFonts w:hint="eastAsia" w:ascii="宋体" w:hAnsi="宋体" w:eastAsia="宋体" w:cs="宋体"/>
          <w:sz w:val="22"/>
          <w:szCs w:val="22"/>
          <w:highlight w:val="none"/>
          <w:lang w:val="en-US" w:eastAsia="zh-CN" w:bidi="ar"/>
        </w:rPr>
        <w:t>4</w:t>
      </w:r>
      <w:r>
        <w:rPr>
          <w:rFonts w:hint="eastAsia" w:ascii="宋体" w:hAnsi="宋体" w:eastAsia="宋体" w:cs="宋体"/>
          <w:sz w:val="22"/>
          <w:szCs w:val="22"/>
          <w:highlight w:val="none"/>
          <w:lang w:bidi="ar"/>
        </w:rPr>
        <w:t>）封装:采用 MP4 封装。</w:t>
      </w:r>
    </w:p>
    <w:p>
      <w:pPr>
        <w:pStyle w:val="11"/>
        <w:keepNext w:val="0"/>
        <w:keepLines w:val="0"/>
        <w:widowControl/>
        <w:suppressLineNumbers w:val="0"/>
        <w:spacing w:before="75" w:beforeAutospacing="0" w:after="75" w:afterAutospacing="0"/>
        <w:ind w:left="0" w:right="0" w:firstLine="0"/>
        <w:outlineLvl w:val="1"/>
        <w:rPr>
          <w:rFonts w:hint="eastAsia" w:ascii="宋体" w:hAnsi="宋体" w:eastAsia="宋体" w:cs="宋体"/>
          <w:sz w:val="20"/>
          <w:szCs w:val="20"/>
          <w:highlight w:val="none"/>
        </w:rPr>
      </w:pP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313" w:beforeLines="100" w:beforeAutospacing="0" w:after="313" w:afterLines="100" w:afterAutospacing="0" w:line="360" w:lineRule="auto"/>
        <w:ind w:left="0" w:leftChars="0" w:right="0" w:rightChars="0"/>
        <w:textAlignment w:val="auto"/>
        <w:outlineLvl w:val="1"/>
        <w:rPr>
          <w:rFonts w:hint="default" w:cstheme="minorBidi"/>
          <w:b/>
          <w:bCs/>
          <w:spacing w:val="0"/>
          <w:kern w:val="0"/>
          <w:sz w:val="22"/>
          <w:szCs w:val="22"/>
          <w:highlight w:val="none"/>
          <w:lang w:val="en-US" w:eastAsia="zh-CN" w:bidi="ar"/>
        </w:rPr>
      </w:pPr>
      <w:r>
        <w:rPr>
          <w:rFonts w:hint="eastAsia" w:cstheme="minorBidi"/>
          <w:b/>
          <w:bCs/>
          <w:spacing w:val="0"/>
          <w:kern w:val="0"/>
          <w:sz w:val="22"/>
          <w:szCs w:val="22"/>
          <w:highlight w:val="none"/>
          <w:lang w:val="en-US" w:eastAsia="zh-CN" w:bidi="ar"/>
        </w:rPr>
        <w:t>5 国家级规划教材建设</w:t>
      </w:r>
    </w:p>
    <w:p>
      <w:pPr>
        <w:rPr>
          <w:rFonts w:ascii="宋体" w:hAnsi="宋体" w:eastAsia="宋体" w:cs="宋体"/>
          <w:b/>
          <w:kern w:val="0"/>
          <w:sz w:val="22"/>
          <w:szCs w:val="22"/>
          <w:highlight w:val="none"/>
          <w:lang w:eastAsia="zh-Hans"/>
        </w:rPr>
      </w:pPr>
      <w:r>
        <w:rPr>
          <w:rFonts w:ascii="宋体" w:hAnsi="宋体" w:eastAsia="宋体" w:cs="宋体"/>
          <w:b/>
          <w:kern w:val="0"/>
          <w:sz w:val="22"/>
          <w:szCs w:val="22"/>
          <w:highlight w:val="none"/>
          <w:lang w:eastAsia="zh-Hans"/>
        </w:rPr>
        <w:t>[指标项</w:t>
      </w:r>
      <w:r>
        <w:rPr>
          <w:rFonts w:hint="eastAsia" w:ascii="宋体" w:hAnsi="宋体" w:eastAsia="宋体" w:cs="宋体"/>
          <w:b/>
          <w:kern w:val="0"/>
          <w:sz w:val="22"/>
          <w:szCs w:val="22"/>
          <w:highlight w:val="none"/>
          <w:lang w:val="en-US" w:eastAsia="zh-CN"/>
        </w:rPr>
        <w:t>60</w:t>
      </w:r>
      <w:r>
        <w:rPr>
          <w:rFonts w:ascii="宋体" w:hAnsi="宋体" w:eastAsia="宋体" w:cs="宋体"/>
          <w:b/>
          <w:kern w:val="0"/>
          <w:sz w:val="22"/>
          <w:szCs w:val="22"/>
          <w:highlight w:val="none"/>
          <w:lang w:eastAsia="zh-Hans"/>
        </w:rPr>
        <w:t>]</w:t>
      </w:r>
    </w:p>
    <w:p>
      <w:pPr>
        <w:rPr>
          <w:rFonts w:hint="eastAsia" w:ascii="宋体" w:hAnsi="宋体" w:eastAsia="宋体" w:cs="宋体"/>
          <w:sz w:val="22"/>
          <w:szCs w:val="22"/>
          <w:highlight w:val="none"/>
          <w:lang w:val="en-US" w:eastAsia="zh-CN" w:bidi="ar"/>
        </w:rPr>
      </w:pPr>
      <w:r>
        <w:rPr>
          <w:rFonts w:hint="eastAsia" w:ascii="宋体" w:hAnsi="宋体" w:eastAsia="宋体" w:cs="宋体"/>
          <w:sz w:val="22"/>
          <w:szCs w:val="22"/>
          <w:highlight w:val="none"/>
          <w:lang w:val="en-US" w:eastAsia="zh-CN" w:bidi="ar"/>
        </w:rPr>
        <w:t>5.1投标人全流程指导学校，按照国家级规划教材的标准进行“公共安全类”纸质教材建设，书稿完成后，4个月内由投标人协助完成审校和纸质教材出版，纸质教材需要在国家级出版社出版，具备ISBN号和CIP号。</w:t>
      </w:r>
      <w:r>
        <w:rPr>
          <w:rFonts w:hint="eastAsia"/>
          <w:b/>
          <w:bCs/>
          <w:sz w:val="22"/>
          <w:szCs w:val="22"/>
          <w:highlight w:val="none"/>
        </w:rPr>
        <w:t>（</w:t>
      </w:r>
      <w:r>
        <w:rPr>
          <w:rFonts w:hint="eastAsia"/>
          <w:b/>
          <w:bCs/>
          <w:sz w:val="22"/>
          <w:szCs w:val="22"/>
          <w:highlight w:val="none"/>
          <w:lang w:val="en-US" w:eastAsia="zh-CN"/>
        </w:rPr>
        <w:t>投标时提供3家国家级出版社开具的同意出版本选题的证明供学校选择，要求证明加盖出版社公章</w:t>
      </w:r>
      <w:r>
        <w:rPr>
          <w:rFonts w:hint="eastAsia"/>
          <w:b/>
          <w:bCs/>
          <w:sz w:val="22"/>
          <w:szCs w:val="22"/>
          <w:highlight w:val="none"/>
        </w:rPr>
        <w:t>）</w:t>
      </w:r>
    </w:p>
    <w:p>
      <w:pPr>
        <w:rPr>
          <w:rFonts w:hint="default" w:ascii="宋体" w:hAnsi="宋体" w:eastAsia="宋体" w:cs="宋体"/>
          <w:sz w:val="22"/>
          <w:szCs w:val="22"/>
          <w:highlight w:val="none"/>
          <w:lang w:val="en-US" w:eastAsia="zh-CN" w:bidi="ar"/>
        </w:rPr>
      </w:pPr>
      <w:r>
        <w:rPr>
          <w:rFonts w:hint="eastAsia" w:ascii="宋体" w:hAnsi="宋体" w:eastAsia="宋体" w:cs="宋体"/>
          <w:sz w:val="22"/>
          <w:szCs w:val="22"/>
          <w:highlight w:val="none"/>
          <w:lang w:val="en-US" w:eastAsia="zh-CN" w:bidi="ar"/>
        </w:rPr>
        <w:t>5.2 投标人承诺，协助学校全流程参与公共安全类的十四五国家级规划教材的申报，本校老师担任教材的主编或第一副主编，并提供正式出版机构开具的编写证明，本项目第一期验收时，需要提供以下三种任意一种证明材料：</w:t>
      </w:r>
      <w:r>
        <w:rPr>
          <w:rFonts w:hint="default" w:ascii="Calibri" w:hAnsi="Calibri" w:eastAsia="宋体" w:cs="Calibri"/>
          <w:sz w:val="22"/>
          <w:szCs w:val="22"/>
          <w:highlight w:val="none"/>
          <w:lang w:val="en-US" w:eastAsia="zh-CN" w:bidi="ar"/>
        </w:rPr>
        <w:t>①</w:t>
      </w:r>
      <w:r>
        <w:rPr>
          <w:rFonts w:hint="eastAsia" w:ascii="宋体" w:hAnsi="宋体" w:eastAsia="宋体" w:cs="宋体"/>
          <w:sz w:val="22"/>
          <w:szCs w:val="22"/>
          <w:highlight w:val="none"/>
          <w:lang w:val="en-US" w:eastAsia="zh-CN" w:bidi="ar"/>
        </w:rPr>
        <w:t>教育部教材评审单位接收本教材参评十四五国家级规划教材的公告文件；</w:t>
      </w:r>
      <w:r>
        <w:rPr>
          <w:rFonts w:hint="default" w:ascii="Calibri" w:hAnsi="Calibri" w:eastAsia="宋体" w:cs="Calibri"/>
          <w:sz w:val="22"/>
          <w:szCs w:val="22"/>
          <w:highlight w:val="none"/>
          <w:lang w:val="en-US" w:eastAsia="zh-CN" w:bidi="ar"/>
        </w:rPr>
        <w:t>②</w:t>
      </w:r>
      <w:r>
        <w:rPr>
          <w:rFonts w:hint="eastAsia" w:ascii="宋体" w:hAnsi="宋体" w:eastAsia="宋体" w:cs="宋体"/>
          <w:sz w:val="22"/>
          <w:szCs w:val="22"/>
          <w:highlight w:val="none"/>
          <w:lang w:val="en-US" w:eastAsia="zh-CN" w:bidi="ar"/>
        </w:rPr>
        <w:t>教育部教材评审单位接收本教材参评十四五国家级规划教材的书面证明；</w:t>
      </w:r>
      <w:r>
        <w:rPr>
          <w:rFonts w:hint="default" w:ascii="Calibri" w:hAnsi="Calibri" w:eastAsia="宋体" w:cs="Calibri"/>
          <w:sz w:val="22"/>
          <w:szCs w:val="22"/>
          <w:highlight w:val="none"/>
          <w:lang w:val="en-US" w:eastAsia="zh-CN" w:bidi="ar"/>
        </w:rPr>
        <w:t>③</w:t>
      </w:r>
      <w:r>
        <w:rPr>
          <w:rFonts w:hint="eastAsia" w:ascii="宋体" w:hAnsi="宋体" w:eastAsia="宋体" w:cs="宋体"/>
          <w:sz w:val="22"/>
          <w:szCs w:val="22"/>
          <w:highlight w:val="none"/>
          <w:lang w:val="en-US" w:eastAsia="zh-CN" w:bidi="ar"/>
        </w:rPr>
        <w:t>十四五国家级规划教材获评成功的正式出版物。</w:t>
      </w:r>
    </w:p>
    <w:p>
      <w:pPr>
        <w:pStyle w:val="2"/>
        <w:rPr>
          <w:rFonts w:hint="eastAsia"/>
          <w:highlight w:val="none"/>
          <w:lang w:val="en-US" w:eastAsia="zh-CN"/>
        </w:rPr>
      </w:pPr>
    </w:p>
    <w:p>
      <w:pPr>
        <w:pStyle w:val="11"/>
        <w:keepNext w:val="0"/>
        <w:keepLines w:val="0"/>
        <w:widowControl/>
        <w:suppressLineNumbers w:val="0"/>
        <w:rPr>
          <w:highlight w:val="none"/>
        </w:rPr>
      </w:pPr>
      <w:r>
        <w:rPr>
          <w:rFonts w:hint="default" w:ascii="Calibri" w:hAnsi="Calibri" w:cs="Calibri"/>
          <w:sz w:val="21"/>
          <w:szCs w:val="21"/>
          <w:highlight w:val="none"/>
        </w:rPr>
        <w:t> </w:t>
      </w:r>
    </w:p>
    <w:p>
      <w:pPr>
        <w:pStyle w:val="11"/>
        <w:keepNext w:val="0"/>
        <w:keepLines w:val="0"/>
        <w:widowControl/>
        <w:suppressLineNumbers w:val="0"/>
        <w:spacing w:before="75" w:beforeAutospacing="0" w:after="75" w:afterAutospacing="0"/>
        <w:ind w:left="0" w:right="0" w:firstLine="0"/>
        <w:outlineLvl w:val="1"/>
        <w:rPr>
          <w:highlight w:val="none"/>
        </w:rPr>
      </w:pPr>
      <w:r>
        <w:rPr>
          <w:rFonts w:hint="eastAsia" w:ascii="宋体" w:hAnsi="宋体" w:eastAsia="宋体" w:cs="宋体"/>
          <w:spacing w:val="0"/>
          <w:sz w:val="24"/>
          <w:szCs w:val="24"/>
          <w:highlight w:val="none"/>
        </w:rPr>
        <w:t>三、商务条件</w:t>
      </w:r>
      <w:r>
        <w:rPr>
          <w:rStyle w:val="13"/>
          <w:rFonts w:hint="eastAsia" w:ascii="宋体" w:hAnsi="宋体" w:eastAsia="宋体" w:cs="宋体"/>
          <w:spacing w:val="0"/>
          <w:sz w:val="24"/>
          <w:szCs w:val="24"/>
          <w:highlight w:val="none"/>
        </w:rPr>
        <w:t>（以“★”标示的内容为不允许负偏离的实质性要求）</w:t>
      </w:r>
    </w:p>
    <w:p>
      <w:pPr>
        <w:pStyle w:val="11"/>
        <w:keepNext w:val="0"/>
        <w:keepLines w:val="0"/>
        <w:widowControl/>
        <w:suppressLineNumbers w:val="0"/>
        <w:spacing w:before="75" w:beforeAutospacing="0" w:after="75" w:afterAutospacing="0"/>
        <w:ind w:left="0" w:right="0" w:firstLine="0"/>
        <w:rPr>
          <w:rStyle w:val="13"/>
          <w:rFonts w:hint="eastAsia" w:ascii="宋体" w:hAnsi="宋体" w:eastAsia="宋体" w:cs="宋体"/>
          <w:spacing w:val="0"/>
          <w:sz w:val="24"/>
          <w:szCs w:val="24"/>
          <w:highlight w:val="none"/>
          <w:lang w:eastAsia="zh-CN"/>
        </w:rPr>
      </w:pPr>
      <w:r>
        <w:rPr>
          <w:rStyle w:val="13"/>
          <w:rFonts w:hint="eastAsia" w:ascii="宋体" w:hAnsi="宋体" w:eastAsia="宋体" w:cs="宋体"/>
          <w:spacing w:val="0"/>
          <w:sz w:val="24"/>
          <w:szCs w:val="24"/>
          <w:highlight w:val="none"/>
        </w:rPr>
        <w:t>包：1</w:t>
      </w:r>
    </w:p>
    <w:p>
      <w:pPr>
        <w:pStyle w:val="11"/>
        <w:keepNext w:val="0"/>
        <w:keepLines w:val="0"/>
        <w:widowControl/>
        <w:suppressLineNumbers w:val="0"/>
        <w:spacing w:before="75" w:beforeAutospacing="0" w:after="75" w:afterAutospacing="0"/>
        <w:ind w:left="0" w:right="0" w:firstLine="0"/>
        <w:rPr>
          <w:rStyle w:val="13"/>
          <w:rFonts w:hint="default" w:ascii="宋体" w:hAnsi="宋体" w:eastAsia="宋体" w:cs="宋体"/>
          <w:b w:val="0"/>
          <w:bCs/>
          <w:spacing w:val="0"/>
          <w:sz w:val="24"/>
          <w:szCs w:val="24"/>
          <w:highlight w:val="none"/>
          <w:lang w:val="en-US" w:eastAsia="zh-CN"/>
        </w:rPr>
      </w:pPr>
      <w:r>
        <w:rPr>
          <w:rStyle w:val="13"/>
          <w:rFonts w:hint="eastAsia" w:ascii="宋体" w:hAnsi="宋体" w:eastAsia="宋体" w:cs="宋体"/>
          <w:b w:val="0"/>
          <w:bCs/>
          <w:spacing w:val="0"/>
          <w:sz w:val="24"/>
          <w:szCs w:val="24"/>
          <w:highlight w:val="none"/>
        </w:rPr>
        <w:t>1、交付地点：</w:t>
      </w:r>
      <w:r>
        <w:rPr>
          <w:rFonts w:hint="eastAsia" w:eastAsia="宋体"/>
          <w:b w:val="0"/>
          <w:bCs/>
          <w:highlight w:val="none"/>
          <w:lang w:val="en-US" w:eastAsia="zh-CN"/>
        </w:rPr>
        <w:t>湄洲湾职业技术学院</w:t>
      </w:r>
    </w:p>
    <w:p>
      <w:pPr>
        <w:pStyle w:val="11"/>
        <w:keepNext w:val="0"/>
        <w:keepLines w:val="0"/>
        <w:widowControl/>
        <w:suppressLineNumbers w:val="0"/>
        <w:spacing w:before="75" w:beforeAutospacing="0" w:after="75" w:afterAutospacing="0"/>
        <w:ind w:left="0" w:right="0" w:firstLine="0"/>
        <w:rPr>
          <w:rStyle w:val="13"/>
          <w:rFonts w:hint="eastAsia" w:ascii="宋体" w:hAnsi="宋体" w:eastAsia="宋体" w:cs="宋体"/>
          <w:b w:val="0"/>
          <w:bCs/>
          <w:spacing w:val="0"/>
          <w:sz w:val="24"/>
          <w:szCs w:val="24"/>
          <w:highlight w:val="none"/>
          <w:lang w:eastAsia="zh-CN"/>
        </w:rPr>
      </w:pPr>
      <w:r>
        <w:rPr>
          <w:rStyle w:val="13"/>
          <w:rFonts w:hint="eastAsia" w:ascii="宋体" w:hAnsi="宋体" w:eastAsia="宋体" w:cs="宋体"/>
          <w:b w:val="0"/>
          <w:bCs/>
          <w:spacing w:val="0"/>
          <w:sz w:val="24"/>
          <w:szCs w:val="24"/>
          <w:highlight w:val="none"/>
        </w:rPr>
        <w:t>2、交付时间：合同签订后 (</w:t>
      </w:r>
      <w:r>
        <w:rPr>
          <w:rStyle w:val="13"/>
          <w:rFonts w:hint="eastAsia" w:ascii="宋体" w:hAnsi="宋体" w:eastAsia="宋体" w:cs="宋体"/>
          <w:b w:val="0"/>
          <w:bCs/>
          <w:spacing w:val="0"/>
          <w:sz w:val="24"/>
          <w:szCs w:val="24"/>
          <w:highlight w:val="none"/>
          <w:lang w:val="en-US" w:eastAsia="zh-CN"/>
        </w:rPr>
        <w:t>180</w:t>
      </w:r>
      <w:r>
        <w:rPr>
          <w:rStyle w:val="13"/>
          <w:rFonts w:hint="eastAsia" w:ascii="宋体" w:hAnsi="宋体" w:eastAsia="宋体" w:cs="宋体"/>
          <w:b w:val="0"/>
          <w:bCs/>
          <w:spacing w:val="0"/>
          <w:sz w:val="24"/>
          <w:szCs w:val="24"/>
          <w:highlight w:val="none"/>
        </w:rPr>
        <w:t>) 天内交货</w:t>
      </w:r>
    </w:p>
    <w:p>
      <w:pPr>
        <w:pStyle w:val="11"/>
        <w:keepNext w:val="0"/>
        <w:keepLines w:val="0"/>
        <w:widowControl/>
        <w:suppressLineNumbers w:val="0"/>
        <w:spacing w:before="75" w:beforeAutospacing="0" w:after="75" w:afterAutospacing="0"/>
        <w:ind w:left="0" w:right="0" w:firstLine="0"/>
        <w:rPr>
          <w:rStyle w:val="13"/>
          <w:rFonts w:hint="default" w:ascii="宋体" w:hAnsi="宋体" w:cs="宋体" w:eastAsiaTheme="minorEastAsia"/>
          <w:b w:val="0"/>
          <w:bCs/>
          <w:spacing w:val="0"/>
          <w:sz w:val="24"/>
          <w:szCs w:val="24"/>
          <w:highlight w:val="none"/>
          <w:lang w:val="en-US" w:eastAsia="zh-CN"/>
        </w:rPr>
      </w:pPr>
      <w:r>
        <w:rPr>
          <w:rStyle w:val="13"/>
          <w:rFonts w:hint="eastAsia" w:ascii="宋体" w:hAnsi="宋体" w:eastAsia="宋体" w:cs="宋体"/>
          <w:b w:val="0"/>
          <w:bCs/>
          <w:spacing w:val="0"/>
          <w:sz w:val="24"/>
          <w:szCs w:val="24"/>
          <w:highlight w:val="none"/>
        </w:rPr>
        <w:t>3、交付条件：</w:t>
      </w:r>
      <w:r>
        <w:rPr>
          <w:b w:val="0"/>
          <w:bCs/>
          <w:spacing w:val="0"/>
          <w:sz w:val="24"/>
          <w:szCs w:val="24"/>
          <w:highlight w:val="none"/>
        </w:rPr>
        <w:t>按照我方要求完成</w:t>
      </w:r>
      <w:r>
        <w:rPr>
          <w:rFonts w:hint="eastAsia"/>
          <w:b w:val="0"/>
          <w:bCs/>
          <w:spacing w:val="0"/>
          <w:sz w:val="24"/>
          <w:szCs w:val="24"/>
          <w:highlight w:val="none"/>
          <w:lang w:val="en-US" w:eastAsia="zh-CN"/>
        </w:rPr>
        <w:t>建设清单全部内容。</w:t>
      </w:r>
    </w:p>
    <w:p>
      <w:pPr>
        <w:pStyle w:val="11"/>
        <w:keepNext w:val="0"/>
        <w:keepLines w:val="0"/>
        <w:widowControl/>
        <w:suppressLineNumbers w:val="0"/>
        <w:spacing w:before="75" w:beforeAutospacing="0" w:after="75" w:afterAutospacing="0"/>
        <w:ind w:left="0" w:right="0" w:firstLine="0"/>
        <w:rPr>
          <w:rStyle w:val="13"/>
          <w:rFonts w:hint="eastAsia" w:ascii="宋体" w:hAnsi="宋体" w:eastAsia="宋体" w:cs="宋体"/>
          <w:b w:val="0"/>
          <w:bCs/>
          <w:spacing w:val="0"/>
          <w:sz w:val="24"/>
          <w:szCs w:val="24"/>
          <w:highlight w:val="none"/>
          <w:lang w:eastAsia="zh-CN"/>
        </w:rPr>
      </w:pPr>
      <w:r>
        <w:rPr>
          <w:rStyle w:val="13"/>
          <w:rFonts w:hint="eastAsia" w:ascii="宋体" w:hAnsi="宋体" w:eastAsia="宋体" w:cs="宋体"/>
          <w:b w:val="0"/>
          <w:bCs/>
          <w:spacing w:val="0"/>
          <w:sz w:val="24"/>
          <w:szCs w:val="24"/>
          <w:highlight w:val="none"/>
        </w:rPr>
        <w:t>4、是否收取履约保证金：否</w:t>
      </w:r>
    </w:p>
    <w:p>
      <w:pPr>
        <w:pStyle w:val="11"/>
        <w:keepNext w:val="0"/>
        <w:keepLines w:val="0"/>
        <w:widowControl/>
        <w:suppressLineNumbers w:val="0"/>
        <w:spacing w:before="75" w:beforeAutospacing="0" w:after="75" w:afterAutospacing="0"/>
        <w:ind w:left="0" w:right="0" w:firstLine="0"/>
        <w:rPr>
          <w:rStyle w:val="13"/>
          <w:rFonts w:hint="eastAsia" w:ascii="宋体" w:hAnsi="宋体" w:eastAsia="宋体" w:cs="宋体"/>
          <w:b w:val="0"/>
          <w:bCs/>
          <w:spacing w:val="0"/>
          <w:sz w:val="24"/>
          <w:szCs w:val="24"/>
          <w:highlight w:val="none"/>
          <w:lang w:eastAsia="zh-CN"/>
        </w:rPr>
      </w:pPr>
      <w:r>
        <w:rPr>
          <w:rStyle w:val="13"/>
          <w:rFonts w:hint="eastAsia" w:ascii="宋体" w:hAnsi="宋体" w:eastAsia="宋体" w:cs="宋体"/>
          <w:b w:val="0"/>
          <w:bCs/>
          <w:spacing w:val="0"/>
          <w:sz w:val="24"/>
          <w:szCs w:val="24"/>
          <w:highlight w:val="none"/>
        </w:rPr>
        <w:t>5、是否邀请投标人参与验收：否</w:t>
      </w:r>
    </w:p>
    <w:p>
      <w:pPr>
        <w:pStyle w:val="11"/>
        <w:keepNext w:val="0"/>
        <w:keepLines w:val="0"/>
        <w:widowControl/>
        <w:suppressLineNumbers w:val="0"/>
        <w:spacing w:before="75" w:beforeAutospacing="0" w:after="75" w:afterAutospacing="0"/>
        <w:ind w:left="0" w:right="0" w:firstLine="0"/>
        <w:rPr>
          <w:b w:val="0"/>
          <w:bCs/>
          <w:highlight w:val="none"/>
        </w:rPr>
      </w:pPr>
      <w:r>
        <w:rPr>
          <w:rStyle w:val="13"/>
          <w:rFonts w:hint="eastAsia" w:ascii="宋体" w:hAnsi="宋体" w:eastAsia="宋体" w:cs="宋体"/>
          <w:b w:val="0"/>
          <w:bCs/>
          <w:spacing w:val="0"/>
          <w:sz w:val="24"/>
          <w:szCs w:val="24"/>
          <w:highlight w:val="none"/>
        </w:rPr>
        <w:t>6、验收方式数据表格</w:t>
      </w:r>
    </w:p>
    <w:tbl>
      <w:tblPr>
        <w:tblStyle w:val="14"/>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6"/>
        <w:gridCol w:w="667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blCellSpacing w:w="0" w:type="dxa"/>
        </w:trPr>
        <w:tc>
          <w:tcPr>
            <w:tcW w:w="166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val="0"/>
                <w:bCs/>
                <w:highlight w:val="none"/>
              </w:rPr>
            </w:pPr>
            <w:r>
              <w:rPr>
                <w:rFonts w:ascii="宋体" w:hAnsi="宋体" w:eastAsia="宋体" w:cs="宋体"/>
                <w:b w:val="0"/>
                <w:bCs/>
                <w:kern w:val="0"/>
                <w:sz w:val="24"/>
                <w:szCs w:val="24"/>
                <w:highlight w:val="none"/>
                <w:lang w:val="en-US" w:eastAsia="zh-CN" w:bidi="ar"/>
              </w:rPr>
              <w:t>验收期次</w:t>
            </w:r>
          </w:p>
        </w:tc>
        <w:tc>
          <w:tcPr>
            <w:tcW w:w="66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val="0"/>
                <w:bCs/>
                <w:highlight w:val="none"/>
              </w:rPr>
            </w:pPr>
            <w:r>
              <w:rPr>
                <w:rFonts w:ascii="宋体" w:hAnsi="宋体" w:eastAsia="宋体" w:cs="宋体"/>
                <w:b w:val="0"/>
                <w:bCs/>
                <w:kern w:val="0"/>
                <w:sz w:val="24"/>
                <w:szCs w:val="24"/>
                <w:highlight w:val="none"/>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66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val="0"/>
                <w:bCs/>
                <w:highlight w:val="none"/>
              </w:rPr>
            </w:pPr>
            <w:r>
              <w:rPr>
                <w:rFonts w:ascii="宋体" w:hAnsi="宋体" w:eastAsia="宋体" w:cs="宋体"/>
                <w:b w:val="0"/>
                <w:bCs/>
                <w:kern w:val="0"/>
                <w:sz w:val="24"/>
                <w:szCs w:val="24"/>
                <w:highlight w:val="none"/>
                <w:lang w:val="en-US" w:eastAsia="zh-CN" w:bidi="ar"/>
              </w:rPr>
              <w:t>1</w:t>
            </w:r>
          </w:p>
        </w:tc>
        <w:tc>
          <w:tcPr>
            <w:tcW w:w="66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default"/>
                <w:b w:val="0"/>
                <w:bCs/>
                <w:highlight w:val="none"/>
                <w:lang w:val="en-US"/>
              </w:rPr>
            </w:pPr>
            <w:r>
              <w:rPr>
                <w:rFonts w:ascii="宋体" w:hAnsi="宋体" w:eastAsia="宋体" w:cs="宋体"/>
                <w:b w:val="0"/>
                <w:bCs/>
                <w:kern w:val="0"/>
                <w:sz w:val="24"/>
                <w:szCs w:val="24"/>
                <w:highlight w:val="none"/>
                <w:lang w:val="en-US" w:eastAsia="zh-CN" w:bidi="ar"/>
              </w:rPr>
              <w:t>根据招标文件及合同</w:t>
            </w:r>
            <w:r>
              <w:rPr>
                <w:rFonts w:hint="eastAsia" w:ascii="宋体" w:hAnsi="宋体" w:eastAsia="宋体" w:cs="宋体"/>
                <w:b w:val="0"/>
                <w:bCs/>
                <w:kern w:val="0"/>
                <w:sz w:val="24"/>
                <w:szCs w:val="24"/>
                <w:highlight w:val="none"/>
                <w:lang w:val="en-US" w:eastAsia="zh-CN" w:bidi="ar"/>
              </w:rPr>
              <w:t>，对</w:t>
            </w:r>
            <w:r>
              <w:rPr>
                <w:rFonts w:hint="eastAsia" w:ascii="宋体" w:hAnsi="宋体" w:eastAsia="宋体" w:cs="宋体"/>
                <w:color w:val="auto"/>
                <w:kern w:val="0"/>
                <w:sz w:val="24"/>
                <w:szCs w:val="24"/>
                <w:highlight w:val="none"/>
                <w:lang w:val="en-US" w:eastAsia="zh-CN" w:bidi="ar"/>
              </w:rPr>
              <w:t>建设内容序号1-5整体进行一期验收，项目正常运行。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66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default" w:ascii="宋体" w:hAnsi="宋体" w:eastAsia="宋体" w:cs="宋体"/>
                <w:b w:val="0"/>
                <w:bCs/>
                <w:kern w:val="0"/>
                <w:sz w:val="24"/>
                <w:szCs w:val="24"/>
                <w:highlight w:val="none"/>
                <w:lang w:val="en-US" w:eastAsia="zh-CN" w:bidi="ar"/>
              </w:rPr>
            </w:pPr>
            <w:r>
              <w:rPr>
                <w:rFonts w:hint="eastAsia" w:ascii="宋体" w:hAnsi="宋体" w:eastAsia="宋体" w:cs="宋体"/>
                <w:b w:val="0"/>
                <w:bCs/>
                <w:kern w:val="0"/>
                <w:sz w:val="24"/>
                <w:szCs w:val="24"/>
                <w:highlight w:val="none"/>
                <w:lang w:val="en-US" w:eastAsia="zh-CN" w:bidi="ar"/>
              </w:rPr>
              <w:t>2</w:t>
            </w:r>
          </w:p>
        </w:tc>
        <w:tc>
          <w:tcPr>
            <w:tcW w:w="66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default" w:asciiTheme="minorHAnsi" w:hAnsiTheme="minorHAnsi" w:eastAsiaTheme="minorEastAsia" w:cstheme="minorBidi"/>
                <w:b w:val="0"/>
                <w:bCs/>
                <w:kern w:val="2"/>
                <w:sz w:val="21"/>
                <w:szCs w:val="24"/>
                <w:highlight w:val="none"/>
                <w:lang w:val="en-US" w:eastAsia="zh-CN" w:bidi="ar-SA"/>
              </w:rPr>
            </w:pPr>
            <w:r>
              <w:rPr>
                <w:rFonts w:ascii="宋体" w:hAnsi="宋体" w:eastAsia="宋体" w:cs="宋体"/>
                <w:b w:val="0"/>
                <w:bCs/>
                <w:kern w:val="0"/>
                <w:sz w:val="24"/>
                <w:szCs w:val="24"/>
                <w:highlight w:val="none"/>
                <w:lang w:val="en-US" w:eastAsia="zh-CN" w:bidi="ar"/>
              </w:rPr>
              <w:t>根据招标文件及合同</w:t>
            </w:r>
            <w:r>
              <w:rPr>
                <w:rFonts w:hint="eastAsia" w:ascii="宋体" w:hAnsi="宋体" w:eastAsia="宋体" w:cs="宋体"/>
                <w:b w:val="0"/>
                <w:bCs/>
                <w:kern w:val="0"/>
                <w:sz w:val="24"/>
                <w:szCs w:val="24"/>
                <w:highlight w:val="none"/>
                <w:lang w:val="en-US" w:eastAsia="zh-CN" w:bidi="ar"/>
              </w:rPr>
              <w:t>，对</w:t>
            </w:r>
            <w:r>
              <w:rPr>
                <w:rFonts w:hint="eastAsia" w:ascii="宋体" w:hAnsi="宋体" w:eastAsia="宋体" w:cs="宋体"/>
                <w:color w:val="auto"/>
                <w:kern w:val="0"/>
                <w:sz w:val="24"/>
                <w:szCs w:val="24"/>
                <w:highlight w:val="none"/>
                <w:lang w:val="en-US" w:eastAsia="zh-CN" w:bidi="ar"/>
              </w:rPr>
              <w:t>建设内容序号1-5整体进行二期验收，项目运行良好。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66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default" w:ascii="宋体" w:hAnsi="宋体" w:eastAsia="宋体" w:cs="宋体"/>
                <w:b w:val="0"/>
                <w:bCs/>
                <w:kern w:val="0"/>
                <w:sz w:val="24"/>
                <w:szCs w:val="24"/>
                <w:highlight w:val="none"/>
                <w:lang w:val="en-US" w:eastAsia="zh-CN" w:bidi="ar"/>
              </w:rPr>
            </w:pPr>
            <w:r>
              <w:rPr>
                <w:rFonts w:hint="eastAsia" w:ascii="宋体" w:hAnsi="宋体" w:eastAsia="宋体" w:cs="宋体"/>
                <w:b w:val="0"/>
                <w:bCs/>
                <w:kern w:val="0"/>
                <w:sz w:val="24"/>
                <w:szCs w:val="24"/>
                <w:highlight w:val="none"/>
                <w:lang w:val="en-US" w:eastAsia="zh-CN" w:bidi="ar"/>
              </w:rPr>
              <w:t>3</w:t>
            </w:r>
          </w:p>
        </w:tc>
        <w:tc>
          <w:tcPr>
            <w:tcW w:w="66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default" w:asciiTheme="minorHAnsi" w:hAnsiTheme="minorHAnsi" w:eastAsiaTheme="minorEastAsia" w:cstheme="minorBidi"/>
                <w:b w:val="0"/>
                <w:bCs/>
                <w:kern w:val="2"/>
                <w:sz w:val="21"/>
                <w:szCs w:val="24"/>
                <w:highlight w:val="none"/>
                <w:lang w:val="en-US" w:eastAsia="zh-CN" w:bidi="ar-SA"/>
              </w:rPr>
            </w:pPr>
            <w:r>
              <w:rPr>
                <w:rFonts w:ascii="宋体" w:hAnsi="宋体" w:eastAsia="宋体" w:cs="宋体"/>
                <w:b w:val="0"/>
                <w:bCs/>
                <w:kern w:val="0"/>
                <w:sz w:val="24"/>
                <w:szCs w:val="24"/>
                <w:highlight w:val="none"/>
                <w:lang w:val="en-US" w:eastAsia="zh-CN" w:bidi="ar"/>
              </w:rPr>
              <w:t>根据招标文件及合同</w:t>
            </w:r>
            <w:r>
              <w:rPr>
                <w:rFonts w:hint="eastAsia" w:ascii="宋体" w:hAnsi="宋体" w:eastAsia="宋体" w:cs="宋体"/>
                <w:b w:val="0"/>
                <w:bCs/>
                <w:kern w:val="0"/>
                <w:sz w:val="24"/>
                <w:szCs w:val="24"/>
                <w:highlight w:val="none"/>
                <w:lang w:val="en-US" w:eastAsia="zh-CN" w:bidi="ar"/>
              </w:rPr>
              <w:t>，对</w:t>
            </w:r>
            <w:r>
              <w:rPr>
                <w:rFonts w:hint="eastAsia" w:ascii="宋体" w:hAnsi="宋体" w:eastAsia="宋体" w:cs="宋体"/>
                <w:color w:val="auto"/>
                <w:kern w:val="0"/>
                <w:sz w:val="24"/>
                <w:szCs w:val="24"/>
                <w:highlight w:val="none"/>
                <w:lang w:val="en-US" w:eastAsia="zh-CN" w:bidi="ar"/>
              </w:rPr>
              <w:t>建设内容序号1-5整体进行三期验收，项目运行良好。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66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default" w:ascii="宋体" w:hAnsi="宋体" w:eastAsia="宋体" w:cs="宋体"/>
                <w:b w:val="0"/>
                <w:bCs/>
                <w:kern w:val="0"/>
                <w:sz w:val="24"/>
                <w:szCs w:val="24"/>
                <w:highlight w:val="none"/>
                <w:lang w:val="en-US" w:eastAsia="zh-CN" w:bidi="ar"/>
              </w:rPr>
            </w:pPr>
            <w:r>
              <w:rPr>
                <w:rFonts w:hint="eastAsia" w:ascii="宋体" w:hAnsi="宋体" w:eastAsia="宋体" w:cs="宋体"/>
                <w:b w:val="0"/>
                <w:bCs/>
                <w:kern w:val="0"/>
                <w:sz w:val="24"/>
                <w:szCs w:val="24"/>
                <w:highlight w:val="none"/>
                <w:lang w:val="en-US" w:eastAsia="zh-CN" w:bidi="ar"/>
              </w:rPr>
              <w:t>4</w:t>
            </w:r>
          </w:p>
        </w:tc>
        <w:tc>
          <w:tcPr>
            <w:tcW w:w="66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ascii="宋体" w:hAnsi="宋体" w:eastAsia="宋体" w:cs="宋体"/>
                <w:b w:val="0"/>
                <w:bCs/>
                <w:kern w:val="0"/>
                <w:sz w:val="24"/>
                <w:szCs w:val="24"/>
                <w:highlight w:val="none"/>
                <w:lang w:val="en-US" w:eastAsia="zh-CN" w:bidi="ar"/>
              </w:rPr>
            </w:pPr>
            <w:r>
              <w:rPr>
                <w:rFonts w:ascii="宋体" w:hAnsi="宋体" w:eastAsia="宋体" w:cs="宋体"/>
                <w:b w:val="0"/>
                <w:bCs/>
                <w:kern w:val="0"/>
                <w:sz w:val="24"/>
                <w:szCs w:val="24"/>
                <w:highlight w:val="none"/>
                <w:lang w:val="en-US" w:eastAsia="zh-CN" w:bidi="ar"/>
              </w:rPr>
              <w:t>根据招标文件及合同</w:t>
            </w:r>
            <w:r>
              <w:rPr>
                <w:rFonts w:hint="eastAsia" w:ascii="宋体" w:hAnsi="宋体" w:eastAsia="宋体" w:cs="宋体"/>
                <w:b w:val="0"/>
                <w:bCs/>
                <w:kern w:val="0"/>
                <w:sz w:val="24"/>
                <w:szCs w:val="24"/>
                <w:highlight w:val="none"/>
                <w:lang w:val="en-US" w:eastAsia="zh-CN" w:bidi="ar"/>
              </w:rPr>
              <w:t>，对</w:t>
            </w:r>
            <w:r>
              <w:rPr>
                <w:rFonts w:hint="eastAsia" w:ascii="宋体" w:hAnsi="宋体" w:eastAsia="宋体" w:cs="宋体"/>
                <w:color w:val="auto"/>
                <w:kern w:val="0"/>
                <w:sz w:val="24"/>
                <w:szCs w:val="24"/>
                <w:highlight w:val="none"/>
                <w:lang w:val="en-US" w:eastAsia="zh-CN" w:bidi="ar"/>
              </w:rPr>
              <w:t>建设内容序号1-5整体进行四期验收，项目运行良好。</w:t>
            </w:r>
          </w:p>
        </w:tc>
      </w:tr>
    </w:tbl>
    <w:p>
      <w:pPr>
        <w:keepNext w:val="0"/>
        <w:keepLines w:val="0"/>
        <w:widowControl/>
        <w:suppressLineNumbers w:val="0"/>
        <w:jc w:val="left"/>
        <w:rPr>
          <w:b w:val="0"/>
          <w:bCs/>
          <w:highlight w:val="none"/>
        </w:rPr>
      </w:pPr>
      <w:r>
        <w:rPr>
          <w:rStyle w:val="13"/>
          <w:rFonts w:ascii="宋体" w:hAnsi="宋体" w:eastAsia="宋体" w:cs="宋体"/>
          <w:b w:val="0"/>
          <w:bCs/>
          <w:kern w:val="0"/>
          <w:sz w:val="24"/>
          <w:szCs w:val="24"/>
          <w:highlight w:val="none"/>
          <w:lang w:val="en-US" w:eastAsia="zh-CN" w:bidi="ar"/>
        </w:rPr>
        <w:t>7、支付方式数据表格</w:t>
      </w:r>
    </w:p>
    <w:tbl>
      <w:tblPr>
        <w:tblStyle w:val="14"/>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6"/>
        <w:gridCol w:w="1666"/>
        <w:gridCol w:w="500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blCellSpacing w:w="0" w:type="dxa"/>
        </w:trPr>
        <w:tc>
          <w:tcPr>
            <w:tcW w:w="166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支付期次</w:t>
            </w:r>
          </w:p>
        </w:tc>
        <w:tc>
          <w:tcPr>
            <w:tcW w:w="166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支付比例(%)</w:t>
            </w:r>
          </w:p>
        </w:tc>
        <w:tc>
          <w:tcPr>
            <w:tcW w:w="50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66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w:t>
            </w:r>
          </w:p>
        </w:tc>
        <w:tc>
          <w:tcPr>
            <w:tcW w:w="166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default" w:eastAsiaTheme="minorEastAsia"/>
                <w:color w:val="auto"/>
                <w:highlight w:val="none"/>
                <w:lang w:val="en-US" w:eastAsia="zh-CN"/>
              </w:rPr>
            </w:pPr>
            <w:r>
              <w:rPr>
                <w:rFonts w:hint="eastAsia"/>
                <w:color w:val="auto"/>
                <w:highlight w:val="none"/>
                <w:lang w:val="en-US" w:eastAsia="zh-CN"/>
              </w:rPr>
              <w:t>50</w:t>
            </w:r>
          </w:p>
        </w:tc>
        <w:tc>
          <w:tcPr>
            <w:tcW w:w="50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建设内容序号1-5验收合格后，采购人收到发票后，达到付款条件起30日内，</w:t>
            </w:r>
            <w:r>
              <w:rPr>
                <w:rFonts w:ascii="宋体" w:hAnsi="宋体" w:eastAsia="宋体" w:cs="宋体"/>
                <w:color w:val="auto"/>
                <w:kern w:val="0"/>
                <w:sz w:val="24"/>
                <w:szCs w:val="24"/>
                <w:highlight w:val="none"/>
                <w:lang w:val="en-US" w:eastAsia="zh-CN" w:bidi="ar"/>
              </w:rPr>
              <w:t>支付</w:t>
            </w:r>
            <w:r>
              <w:rPr>
                <w:rFonts w:hint="eastAsia" w:ascii="宋体" w:hAnsi="宋体" w:eastAsia="宋体" w:cs="宋体"/>
                <w:color w:val="auto"/>
                <w:kern w:val="0"/>
                <w:sz w:val="24"/>
                <w:szCs w:val="24"/>
                <w:highlight w:val="none"/>
                <w:lang w:val="en-US" w:eastAsia="zh-CN" w:bidi="ar"/>
              </w:rPr>
              <w:t>合同总金额的50</w:t>
            </w:r>
            <w:r>
              <w:rPr>
                <w:rFonts w:ascii="宋体" w:hAnsi="宋体" w:eastAsia="宋体" w:cs="宋体"/>
                <w:color w:val="auto"/>
                <w:kern w:val="0"/>
                <w:sz w:val="24"/>
                <w:szCs w:val="24"/>
                <w:highlight w:val="none"/>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57" w:hRule="atLeast"/>
          <w:tblCellSpacing w:w="0" w:type="dxa"/>
        </w:trPr>
        <w:tc>
          <w:tcPr>
            <w:tcW w:w="166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p>
        </w:tc>
        <w:tc>
          <w:tcPr>
            <w:tcW w:w="166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default"/>
                <w:color w:val="auto"/>
                <w:highlight w:val="none"/>
                <w:lang w:val="en-US" w:eastAsia="zh-CN"/>
              </w:rPr>
            </w:pPr>
            <w:r>
              <w:rPr>
                <w:rFonts w:hint="eastAsia"/>
                <w:color w:val="auto"/>
                <w:highlight w:val="none"/>
                <w:lang w:val="en-US" w:eastAsia="zh-CN"/>
              </w:rPr>
              <w:t>25</w:t>
            </w:r>
          </w:p>
        </w:tc>
        <w:tc>
          <w:tcPr>
            <w:tcW w:w="50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一期验收后整体试运行3个月后，进行二期验收，整体运行良好，验收通过后，达到付款条件起30日内，</w:t>
            </w:r>
            <w:r>
              <w:rPr>
                <w:rFonts w:ascii="宋体" w:hAnsi="宋体" w:eastAsia="宋体" w:cs="宋体"/>
                <w:color w:val="auto"/>
                <w:kern w:val="0"/>
                <w:sz w:val="24"/>
                <w:szCs w:val="24"/>
                <w:highlight w:val="none"/>
                <w:lang w:val="en-US" w:eastAsia="zh-CN" w:bidi="ar"/>
              </w:rPr>
              <w:t>支付</w:t>
            </w:r>
            <w:r>
              <w:rPr>
                <w:rFonts w:hint="eastAsia" w:ascii="宋体" w:hAnsi="宋体" w:eastAsia="宋体" w:cs="宋体"/>
                <w:color w:val="auto"/>
                <w:kern w:val="0"/>
                <w:sz w:val="24"/>
                <w:szCs w:val="24"/>
                <w:highlight w:val="none"/>
                <w:lang w:val="en-US" w:eastAsia="zh-CN" w:bidi="ar"/>
              </w:rPr>
              <w:t>合同总金额的25</w:t>
            </w:r>
            <w:r>
              <w:rPr>
                <w:rFonts w:ascii="宋体" w:hAnsi="宋体" w:eastAsia="宋体" w:cs="宋体"/>
                <w:color w:val="auto"/>
                <w:kern w:val="0"/>
                <w:sz w:val="24"/>
                <w:szCs w:val="24"/>
                <w:highlight w:val="none"/>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57" w:hRule="atLeast"/>
          <w:tblCellSpacing w:w="0" w:type="dxa"/>
        </w:trPr>
        <w:tc>
          <w:tcPr>
            <w:tcW w:w="166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p>
        </w:tc>
        <w:tc>
          <w:tcPr>
            <w:tcW w:w="166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default" w:asciiTheme="minorHAnsi" w:hAnsiTheme="minorHAnsi" w:eastAsiaTheme="minorEastAsia" w:cstheme="minorBidi"/>
                <w:color w:val="auto"/>
                <w:kern w:val="2"/>
                <w:sz w:val="21"/>
                <w:szCs w:val="24"/>
                <w:highlight w:val="none"/>
                <w:lang w:val="en-US" w:eastAsia="zh-CN" w:bidi="ar-SA"/>
              </w:rPr>
            </w:pPr>
            <w:r>
              <w:rPr>
                <w:rFonts w:hint="eastAsia"/>
                <w:color w:val="auto"/>
                <w:highlight w:val="none"/>
                <w:lang w:val="en-US" w:eastAsia="zh-CN"/>
              </w:rPr>
              <w:t>20</w:t>
            </w:r>
          </w:p>
        </w:tc>
        <w:tc>
          <w:tcPr>
            <w:tcW w:w="50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一期验收后整体运行一年后，进行三期验收，整体运行良好，验收通过后，达到付款条件起30日内，</w:t>
            </w:r>
            <w:r>
              <w:rPr>
                <w:rFonts w:ascii="宋体" w:hAnsi="宋体" w:eastAsia="宋体" w:cs="宋体"/>
                <w:color w:val="auto"/>
                <w:kern w:val="0"/>
                <w:sz w:val="24"/>
                <w:szCs w:val="24"/>
                <w:highlight w:val="none"/>
                <w:lang w:val="en-US" w:eastAsia="zh-CN" w:bidi="ar"/>
              </w:rPr>
              <w:t>支付</w:t>
            </w:r>
            <w:r>
              <w:rPr>
                <w:rFonts w:hint="eastAsia" w:ascii="宋体" w:hAnsi="宋体" w:eastAsia="宋体" w:cs="宋体"/>
                <w:color w:val="auto"/>
                <w:kern w:val="0"/>
                <w:sz w:val="24"/>
                <w:szCs w:val="24"/>
                <w:highlight w:val="none"/>
                <w:lang w:val="en-US" w:eastAsia="zh-CN" w:bidi="ar"/>
              </w:rPr>
              <w:t>合同总金额的20</w:t>
            </w:r>
            <w:r>
              <w:rPr>
                <w:rFonts w:ascii="宋体" w:hAnsi="宋体" w:eastAsia="宋体" w:cs="宋体"/>
                <w:color w:val="auto"/>
                <w:kern w:val="0"/>
                <w:sz w:val="24"/>
                <w:szCs w:val="24"/>
                <w:highlight w:val="none"/>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66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p>
        </w:tc>
        <w:tc>
          <w:tcPr>
            <w:tcW w:w="166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default"/>
                <w:color w:val="auto"/>
                <w:highlight w:val="none"/>
                <w:lang w:val="en-US" w:eastAsia="zh-CN"/>
              </w:rPr>
            </w:pPr>
            <w:r>
              <w:rPr>
                <w:rFonts w:hint="eastAsia"/>
                <w:color w:val="auto"/>
                <w:highlight w:val="none"/>
                <w:lang w:val="en-US" w:eastAsia="zh-CN"/>
              </w:rPr>
              <w:t>5</w:t>
            </w:r>
          </w:p>
        </w:tc>
        <w:tc>
          <w:tcPr>
            <w:tcW w:w="50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一期验收后整体运行两年后，进行四期验收，整体运行良好，验收通过后，达到付款条件起30日内，</w:t>
            </w:r>
            <w:r>
              <w:rPr>
                <w:rFonts w:ascii="宋体" w:hAnsi="宋体" w:eastAsia="宋体" w:cs="宋体"/>
                <w:color w:val="auto"/>
                <w:kern w:val="0"/>
                <w:sz w:val="24"/>
                <w:szCs w:val="24"/>
                <w:highlight w:val="none"/>
                <w:lang w:val="en-US" w:eastAsia="zh-CN" w:bidi="ar"/>
              </w:rPr>
              <w:t>支付</w:t>
            </w:r>
            <w:r>
              <w:rPr>
                <w:rFonts w:hint="eastAsia" w:ascii="宋体" w:hAnsi="宋体" w:eastAsia="宋体" w:cs="宋体"/>
                <w:color w:val="auto"/>
                <w:kern w:val="0"/>
                <w:sz w:val="24"/>
                <w:szCs w:val="24"/>
                <w:highlight w:val="none"/>
                <w:lang w:val="en-US" w:eastAsia="zh-CN" w:bidi="ar"/>
              </w:rPr>
              <w:t>合同总金额的5</w:t>
            </w:r>
            <w:r>
              <w:rPr>
                <w:rFonts w:ascii="宋体" w:hAnsi="宋体" w:eastAsia="宋体" w:cs="宋体"/>
                <w:color w:val="auto"/>
                <w:kern w:val="0"/>
                <w:sz w:val="24"/>
                <w:szCs w:val="24"/>
                <w:highlight w:val="none"/>
                <w:lang w:val="en-US" w:eastAsia="zh-CN" w:bidi="ar"/>
              </w:rPr>
              <w:t>%</w:t>
            </w:r>
          </w:p>
        </w:tc>
      </w:tr>
    </w:tbl>
    <w:p>
      <w:pPr>
        <w:pStyle w:val="11"/>
        <w:keepNext w:val="0"/>
        <w:keepLines w:val="0"/>
        <w:widowControl/>
        <w:suppressLineNumbers w:val="0"/>
        <w:spacing w:before="75" w:beforeAutospacing="0" w:after="75" w:afterAutospacing="0"/>
        <w:rPr>
          <w:highlight w:val="none"/>
        </w:rPr>
      </w:pPr>
      <w:r>
        <w:rPr>
          <w:rFonts w:hint="default" w:ascii="Calibri" w:hAnsi="Calibri" w:eastAsia="宋体" w:cs="Calibri"/>
          <w:sz w:val="24"/>
          <w:szCs w:val="24"/>
          <w:highlight w:val="none"/>
        </w:rPr>
        <w:t>8</w:t>
      </w:r>
      <w:r>
        <w:rPr>
          <w:rFonts w:hint="eastAsia" w:ascii="宋体" w:hAnsi="宋体" w:eastAsia="宋体" w:cs="宋体"/>
          <w:sz w:val="24"/>
          <w:szCs w:val="24"/>
          <w:highlight w:val="none"/>
        </w:rPr>
        <w:t>、售后服务要求：</w:t>
      </w:r>
    </w:p>
    <w:p>
      <w:pPr>
        <w:pStyle w:val="11"/>
        <w:keepNext w:val="0"/>
        <w:keepLines w:val="0"/>
        <w:widowControl/>
        <w:suppressLineNumbers w:val="0"/>
        <w:spacing w:before="75" w:beforeAutospacing="0" w:after="75" w:afterAutospacing="0"/>
        <w:ind w:left="0" w:firstLine="480"/>
        <w:rPr>
          <w:highlight w:val="none"/>
        </w:rPr>
      </w:pPr>
      <w:r>
        <w:rPr>
          <w:rFonts w:hint="eastAsia" w:ascii="宋体" w:hAnsi="宋体" w:eastAsia="宋体" w:cs="宋体"/>
          <w:sz w:val="24"/>
          <w:szCs w:val="24"/>
          <w:highlight w:val="none"/>
        </w:rPr>
        <w:t>成交人至少提供</w:t>
      </w:r>
      <w:r>
        <w:rPr>
          <w:rFonts w:hint="default" w:ascii="Calibri" w:hAnsi="Calibri" w:eastAsia="宋体" w:cs="Calibri"/>
          <w:sz w:val="24"/>
          <w:szCs w:val="24"/>
          <w:highlight w:val="none"/>
        </w:rPr>
        <w:t>1</w:t>
      </w:r>
      <w:r>
        <w:rPr>
          <w:rFonts w:hint="eastAsia" w:ascii="宋体" w:hAnsi="宋体" w:eastAsia="宋体" w:cs="宋体"/>
          <w:sz w:val="24"/>
          <w:szCs w:val="24"/>
          <w:highlight w:val="none"/>
        </w:rPr>
        <w:t>年的免费服务，在服务期内采购人对服务项目部分进行</w:t>
      </w:r>
      <w:r>
        <w:rPr>
          <w:rFonts w:hint="eastAsia" w:ascii="宋体" w:hAnsi="宋体" w:eastAsia="宋体" w:cs="宋体"/>
          <w:sz w:val="24"/>
          <w:szCs w:val="24"/>
          <w:highlight w:val="none"/>
          <w:lang w:val="en-US" w:eastAsia="zh-CN"/>
        </w:rPr>
        <w:t>售后服务</w:t>
      </w:r>
      <w:r>
        <w:rPr>
          <w:rFonts w:hint="eastAsia" w:ascii="宋体" w:hAnsi="宋体" w:eastAsia="宋体" w:cs="宋体"/>
          <w:sz w:val="24"/>
          <w:szCs w:val="24"/>
          <w:highlight w:val="none"/>
        </w:rPr>
        <w:t>，成交人应无条件配合，对超出制作要求部分的</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，费用另行协商，并指定专人负责与采购人保持联系与服务；接到采购人</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通知，成交人</w:t>
      </w:r>
      <w:r>
        <w:rPr>
          <w:rFonts w:hint="default" w:ascii="Calibri" w:hAnsi="Calibri" w:eastAsia="宋体" w:cs="Calibri"/>
          <w:sz w:val="24"/>
          <w:szCs w:val="24"/>
          <w:highlight w:val="none"/>
        </w:rPr>
        <w:t>6</w:t>
      </w:r>
      <w:r>
        <w:rPr>
          <w:rFonts w:hint="eastAsia" w:ascii="宋体" w:hAnsi="宋体" w:eastAsia="宋体" w:cs="宋体"/>
          <w:sz w:val="24"/>
          <w:szCs w:val="24"/>
          <w:highlight w:val="none"/>
        </w:rPr>
        <w:t>个小时内响应，并在</w:t>
      </w:r>
      <w:r>
        <w:rPr>
          <w:rFonts w:hint="default" w:ascii="Calibri" w:hAnsi="Calibri" w:eastAsia="宋体" w:cs="Calibri"/>
          <w:sz w:val="24"/>
          <w:szCs w:val="24"/>
          <w:highlight w:val="none"/>
        </w:rPr>
        <w:t>12</w:t>
      </w:r>
      <w:r>
        <w:rPr>
          <w:rFonts w:hint="eastAsia" w:ascii="宋体" w:hAnsi="宋体" w:eastAsia="宋体" w:cs="宋体"/>
          <w:sz w:val="24"/>
          <w:szCs w:val="24"/>
          <w:highlight w:val="none"/>
        </w:rPr>
        <w:t>个小时内到达现场。</w:t>
      </w:r>
    </w:p>
    <w:p>
      <w:pPr>
        <w:pStyle w:val="11"/>
        <w:keepNext w:val="0"/>
        <w:keepLines w:val="0"/>
        <w:widowControl/>
        <w:suppressLineNumbers w:val="0"/>
        <w:spacing w:before="75" w:beforeAutospacing="0" w:after="75" w:afterAutospacing="0"/>
        <w:rPr>
          <w:highlight w:val="none"/>
        </w:rPr>
      </w:pPr>
      <w:r>
        <w:rPr>
          <w:rFonts w:hint="default" w:ascii="Calibri" w:hAnsi="Calibri" w:eastAsia="宋体" w:cs="Calibri"/>
          <w:sz w:val="24"/>
          <w:szCs w:val="24"/>
          <w:highlight w:val="none"/>
        </w:rPr>
        <w:t>9</w:t>
      </w:r>
      <w:r>
        <w:rPr>
          <w:rFonts w:hint="eastAsia" w:ascii="宋体" w:hAnsi="宋体" w:eastAsia="宋体" w:cs="宋体"/>
          <w:sz w:val="24"/>
          <w:szCs w:val="24"/>
          <w:highlight w:val="none"/>
        </w:rPr>
        <w:t>、验收标准</w:t>
      </w:r>
    </w:p>
    <w:p>
      <w:pPr>
        <w:pStyle w:val="11"/>
        <w:keepNext w:val="0"/>
        <w:keepLines w:val="0"/>
        <w:widowControl/>
        <w:suppressLineNumbers w:val="0"/>
        <w:spacing w:before="75" w:beforeAutospacing="0" w:after="75" w:afterAutospacing="0"/>
        <w:ind w:left="0" w:firstLine="480"/>
        <w:rPr>
          <w:highlight w:val="none"/>
        </w:rPr>
      </w:pPr>
      <w:r>
        <w:rPr>
          <w:rFonts w:hint="default" w:ascii="Calibri" w:hAnsi="Calibri" w:eastAsia="宋体" w:cs="Calibri"/>
          <w:sz w:val="24"/>
          <w:szCs w:val="24"/>
          <w:highlight w:val="none"/>
        </w:rPr>
        <w:t>9.1</w:t>
      </w:r>
      <w:r>
        <w:rPr>
          <w:rFonts w:hint="eastAsia" w:ascii="宋体" w:hAnsi="宋体" w:eastAsia="宋体" w:cs="宋体"/>
          <w:sz w:val="24"/>
          <w:szCs w:val="24"/>
          <w:highlight w:val="none"/>
        </w:rPr>
        <w:t>验收依据：采购文件、响应文件、合同及国家有关的标准规范规定，均为验收依据。</w:t>
      </w:r>
    </w:p>
    <w:p>
      <w:pPr>
        <w:pStyle w:val="11"/>
        <w:keepNext w:val="0"/>
        <w:keepLines w:val="0"/>
        <w:widowControl/>
        <w:suppressLineNumbers w:val="0"/>
        <w:spacing w:before="75" w:beforeAutospacing="0" w:after="75" w:afterAutospacing="0"/>
        <w:ind w:left="0" w:firstLine="480"/>
        <w:rPr>
          <w:highlight w:val="none"/>
        </w:rPr>
      </w:pPr>
      <w:r>
        <w:rPr>
          <w:rFonts w:hint="default" w:ascii="Calibri" w:hAnsi="Calibri" w:eastAsia="宋体" w:cs="Calibri"/>
          <w:sz w:val="24"/>
          <w:szCs w:val="24"/>
          <w:highlight w:val="none"/>
        </w:rPr>
        <w:t>9.2</w:t>
      </w:r>
      <w:r>
        <w:rPr>
          <w:rFonts w:hint="eastAsia" w:ascii="宋体" w:hAnsi="宋体" w:eastAsia="宋体" w:cs="宋体"/>
          <w:sz w:val="24"/>
          <w:szCs w:val="24"/>
          <w:highlight w:val="none"/>
        </w:rPr>
        <w:t>验收过程所产生的一切费用由成交人承担。</w:t>
      </w:r>
    </w:p>
    <w:p>
      <w:pPr>
        <w:pStyle w:val="11"/>
        <w:keepNext w:val="0"/>
        <w:keepLines w:val="0"/>
        <w:widowControl/>
        <w:suppressLineNumbers w:val="0"/>
        <w:spacing w:before="75" w:beforeAutospacing="0" w:after="75" w:afterAutospacing="0"/>
        <w:rPr>
          <w:highlight w:val="none"/>
        </w:rPr>
      </w:pPr>
      <w:r>
        <w:rPr>
          <w:rFonts w:hint="default" w:ascii="Calibri" w:hAnsi="Calibri" w:eastAsia="宋体" w:cs="Calibri"/>
          <w:sz w:val="24"/>
          <w:szCs w:val="24"/>
          <w:highlight w:val="none"/>
        </w:rPr>
        <w:t>10</w:t>
      </w:r>
      <w:r>
        <w:rPr>
          <w:rFonts w:hint="eastAsia" w:ascii="宋体" w:hAnsi="宋体" w:eastAsia="宋体" w:cs="宋体"/>
          <w:sz w:val="24"/>
          <w:szCs w:val="24"/>
          <w:highlight w:val="none"/>
        </w:rPr>
        <w:t>、其他要求（如服务安全责任保障等）</w:t>
      </w:r>
    </w:p>
    <w:p>
      <w:pPr>
        <w:pStyle w:val="11"/>
        <w:keepNext w:val="0"/>
        <w:keepLines w:val="0"/>
        <w:widowControl/>
        <w:suppressLineNumbers w:val="0"/>
        <w:spacing w:before="75" w:beforeAutospacing="0" w:after="75" w:afterAutospacing="0"/>
        <w:ind w:left="0" w:firstLine="480"/>
        <w:rPr>
          <w:highlight w:val="none"/>
        </w:rPr>
      </w:pPr>
      <w:r>
        <w:rPr>
          <w:rFonts w:hint="default" w:ascii="Calibri" w:hAnsi="Calibri" w:eastAsia="宋体" w:cs="Calibri"/>
          <w:sz w:val="24"/>
          <w:szCs w:val="24"/>
          <w:highlight w:val="none"/>
        </w:rPr>
        <w:t xml:space="preserve">10.1 </w:t>
      </w:r>
      <w:r>
        <w:rPr>
          <w:rFonts w:hint="eastAsia" w:ascii="宋体" w:hAnsi="宋体" w:eastAsia="宋体" w:cs="宋体"/>
          <w:sz w:val="24"/>
          <w:szCs w:val="24"/>
          <w:highlight w:val="none"/>
        </w:rPr>
        <w:t>成交人提供的采购标的应符合国家知识产权法律、法规的规定且非假冒伪劣品；成交人还应保证采购人不受到第三方关于侵犯知识产权及专 利权、商 标权或工业设 计权等知识产权方面的指控，若任何第三方提出此方面指控均与采购人无关，成交人应与第三方交涉，并承担可能发生的一切法律责任、费用和后果；若采购人因此而遭致损失（包括但不限于律师费、诉讼费、鉴定费、诉讼过程采购人所产生的交通费等），则成交人应赔偿该损失。</w:t>
      </w:r>
    </w:p>
    <w:p>
      <w:pPr>
        <w:pStyle w:val="11"/>
        <w:keepNext w:val="0"/>
        <w:keepLines w:val="0"/>
        <w:widowControl/>
        <w:suppressLineNumbers w:val="0"/>
        <w:spacing w:before="75" w:beforeAutospacing="0" w:after="75" w:afterAutospacing="0"/>
        <w:ind w:left="0" w:firstLine="480"/>
        <w:rPr>
          <w:highlight w:val="none"/>
        </w:rPr>
      </w:pPr>
      <w:r>
        <w:rPr>
          <w:rFonts w:hint="default" w:ascii="Calibri" w:hAnsi="Calibri" w:eastAsia="宋体" w:cs="Calibri"/>
          <w:sz w:val="24"/>
          <w:szCs w:val="24"/>
          <w:highlight w:val="none"/>
        </w:rPr>
        <w:t xml:space="preserve">10.2 </w:t>
      </w:r>
      <w:r>
        <w:rPr>
          <w:rFonts w:hint="eastAsia" w:ascii="宋体" w:hAnsi="宋体" w:eastAsia="宋体" w:cs="宋体"/>
          <w:sz w:val="24"/>
          <w:szCs w:val="24"/>
          <w:highlight w:val="none"/>
        </w:rPr>
        <w:t>若成交人提供的采购标的不符合国家知识产权法律、法规的规定或被有关主管机关认定为假冒伪劣品，则成交人中标资格将被取消；采购人还将按照有关法律、法规和规章的规定进行处理。</w:t>
      </w:r>
    </w:p>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 </w:t>
      </w:r>
    </w:p>
    <w:p>
      <w:pPr>
        <w:pStyle w:val="11"/>
        <w:keepNext w:val="0"/>
        <w:keepLines w:val="0"/>
        <w:widowControl/>
        <w:suppressLineNumbers w:val="0"/>
        <w:spacing w:before="75" w:beforeAutospacing="0" w:after="75" w:afterAutospacing="0"/>
        <w:ind w:left="0" w:right="0" w:firstLine="0"/>
        <w:outlineLvl w:val="1"/>
        <w:rPr>
          <w:highlight w:val="none"/>
        </w:rPr>
      </w:pPr>
      <w:r>
        <w:rPr>
          <w:spacing w:val="0"/>
          <w:sz w:val="24"/>
          <w:szCs w:val="24"/>
          <w:highlight w:val="none"/>
        </w:rPr>
        <w:t>四、其他事项</w:t>
      </w:r>
    </w:p>
    <w:p>
      <w:pPr>
        <w:pStyle w:val="11"/>
        <w:keepNext w:val="0"/>
        <w:keepLines w:val="0"/>
        <w:widowControl/>
        <w:suppressLineNumbers w:val="0"/>
        <w:shd w:val="clear" w:fill="FFFFFF"/>
        <w:spacing w:after="150" w:afterAutospacing="0" w:line="300" w:lineRule="atLeast"/>
        <w:ind w:left="0" w:firstLine="480"/>
        <w:jc w:val="both"/>
        <w:rPr>
          <w:highlight w:val="none"/>
        </w:rPr>
      </w:pPr>
      <w:r>
        <w:rPr>
          <w:rFonts w:hint="eastAsia" w:ascii="宋体" w:hAnsi="宋体" w:eastAsia="宋体" w:cs="宋体"/>
          <w:sz w:val="24"/>
          <w:szCs w:val="24"/>
          <w:highlight w:val="none"/>
          <w:shd w:val="clear" w:fill="FFFFFF"/>
        </w:rPr>
        <w:t>演示规定：</w:t>
      </w:r>
    </w:p>
    <w:p>
      <w:pPr>
        <w:pStyle w:val="11"/>
        <w:keepNext w:val="0"/>
        <w:keepLines w:val="0"/>
        <w:widowControl/>
        <w:suppressLineNumbers w:val="0"/>
        <w:shd w:val="clear" w:fill="FFFFFF"/>
        <w:spacing w:after="150" w:afterAutospacing="0" w:line="300" w:lineRule="atLeast"/>
        <w:ind w:left="0" w:firstLine="480"/>
        <w:jc w:val="both"/>
        <w:rPr>
          <w:highlight w:val="none"/>
        </w:rPr>
      </w:pPr>
      <w:r>
        <w:rPr>
          <w:rFonts w:hint="eastAsia" w:ascii="宋体" w:hAnsi="宋体" w:eastAsia="宋体" w:cs="宋体"/>
          <w:color w:val="393939"/>
          <w:sz w:val="24"/>
          <w:szCs w:val="24"/>
          <w:highlight w:val="none"/>
          <w:shd w:val="clear" w:fill="FFFFFF"/>
        </w:rPr>
        <w:t>1）演示所需的设备均由供 应商自行携带（如笔记本电脑、插排、多媒体转接等）。</w:t>
      </w:r>
    </w:p>
    <w:p>
      <w:pPr>
        <w:pStyle w:val="11"/>
        <w:keepNext w:val="0"/>
        <w:keepLines w:val="0"/>
        <w:widowControl/>
        <w:suppressLineNumbers w:val="0"/>
        <w:spacing w:after="150" w:afterAutospacing="0" w:line="300" w:lineRule="atLeast"/>
        <w:ind w:left="0" w:firstLine="480"/>
        <w:jc w:val="both"/>
        <w:rPr>
          <w:highlight w:val="none"/>
        </w:rPr>
      </w:pPr>
      <w:r>
        <w:rPr>
          <w:rFonts w:hint="eastAsia" w:ascii="宋体" w:hAnsi="宋体" w:eastAsia="宋体" w:cs="宋体"/>
          <w:color w:val="393939"/>
          <w:sz w:val="24"/>
          <w:szCs w:val="24"/>
          <w:highlight w:val="none"/>
          <w:shd w:val="clear" w:fill="FFFFFF"/>
        </w:rPr>
        <w:t>2）</w:t>
      </w:r>
      <w:r>
        <w:rPr>
          <w:rFonts w:hint="eastAsia" w:ascii="宋体" w:hAnsi="宋体" w:eastAsia="宋体" w:cs="宋体"/>
          <w:sz w:val="24"/>
          <w:szCs w:val="24"/>
          <w:highlight w:val="none"/>
        </w:rPr>
        <w:t>供应商需在开标当日进行现场演示，演示时间不得超过</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分钟。</w:t>
      </w:r>
      <w:r>
        <w:rPr>
          <w:rFonts w:hint="default" w:ascii="Calibri" w:hAnsi="Calibri" w:cs="Calibri"/>
          <w:sz w:val="24"/>
          <w:szCs w:val="24"/>
          <w:highlight w:val="none"/>
        </w:rPr>
        <w:t> </w:t>
      </w:r>
    </w:p>
    <w:p>
      <w:pPr>
        <w:pStyle w:val="2"/>
        <w:rPr>
          <w:highlight w:val="none"/>
        </w:rPr>
      </w:pPr>
    </w:p>
    <w:bookmarkEnd w:id="1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137597"/>
    <w:multiLevelType w:val="singleLevel"/>
    <w:tmpl w:val="C3137597"/>
    <w:lvl w:ilvl="0" w:tentative="0">
      <w:start w:val="1"/>
      <w:numFmt w:val="chineseCounting"/>
      <w:suff w:val="nothing"/>
      <w:lvlText w:val="%1、"/>
      <w:lvlJc w:val="left"/>
      <w:rPr>
        <w:rFonts w:hint="eastAsia"/>
      </w:rPr>
    </w:lvl>
  </w:abstractNum>
  <w:abstractNum w:abstractNumId="1">
    <w:nsid w:val="CB24BCF9"/>
    <w:multiLevelType w:val="singleLevel"/>
    <w:tmpl w:val="CB24BCF9"/>
    <w:lvl w:ilvl="0" w:tentative="0">
      <w:start w:val="6"/>
      <w:numFmt w:val="decimal"/>
      <w:suff w:val="nothing"/>
      <w:lvlText w:val="%1）"/>
      <w:lvlJc w:val="left"/>
    </w:lvl>
  </w:abstractNum>
  <w:abstractNum w:abstractNumId="2">
    <w:nsid w:val="0A051CC0"/>
    <w:multiLevelType w:val="multilevel"/>
    <w:tmpl w:val="0A051CC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AF118B5"/>
    <w:multiLevelType w:val="multilevel"/>
    <w:tmpl w:val="2AF118B5"/>
    <w:lvl w:ilvl="0" w:tentative="0">
      <w:start w:val="1"/>
      <w:numFmt w:val="decimal"/>
      <w:suff w:val="nothing"/>
      <w:lvlText w:val="%1"/>
      <w:lvlJc w:val="center"/>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TUyYTdiZDBiYjg0MWMzNjNlZmRmN2U2MTQ2ZmMifQ=="/>
  </w:docVars>
  <w:rsids>
    <w:rsidRoot w:val="00000000"/>
    <w:rsid w:val="0757360C"/>
    <w:rsid w:val="089E5946"/>
    <w:rsid w:val="107A771D"/>
    <w:rsid w:val="124F443C"/>
    <w:rsid w:val="13E3257A"/>
    <w:rsid w:val="147078CD"/>
    <w:rsid w:val="1E1609EC"/>
    <w:rsid w:val="204606DC"/>
    <w:rsid w:val="213C57BB"/>
    <w:rsid w:val="24CB1437"/>
    <w:rsid w:val="27083FF7"/>
    <w:rsid w:val="28AE2025"/>
    <w:rsid w:val="2F2909BB"/>
    <w:rsid w:val="3AEB2519"/>
    <w:rsid w:val="42834C0D"/>
    <w:rsid w:val="4F3B7112"/>
    <w:rsid w:val="504A688C"/>
    <w:rsid w:val="55822DDA"/>
    <w:rsid w:val="593F6B51"/>
    <w:rsid w:val="74571925"/>
    <w:rsid w:val="78FE3FE4"/>
    <w:rsid w:val="79C47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rFonts w:ascii="Calibri" w:hAnsi="Calibri" w:cs="Times New Roman"/>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4"/>
    <w:basedOn w:val="1"/>
    <w:next w:val="1"/>
    <w:qFormat/>
    <w:uiPriority w:val="0"/>
    <w:pPr>
      <w:keepNext/>
      <w:keepLines/>
      <w:spacing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Body Text First Indent"/>
    <w:basedOn w:val="2"/>
    <w:qFormat/>
    <w:uiPriority w:val="0"/>
    <w:pPr>
      <w:ind w:firstLine="420" w:firstLineChars="100"/>
    </w:pPr>
    <w:rPr>
      <w:kern w:val="0"/>
      <w:sz w:val="20"/>
      <w:szCs w:val="20"/>
    </w:rPr>
  </w:style>
  <w:style w:type="paragraph" w:styleId="7">
    <w:name w:val="annotation text"/>
    <w:basedOn w:val="1"/>
    <w:uiPriority w:val="0"/>
    <w:pPr>
      <w:jc w:val="left"/>
    </w:pPr>
  </w:style>
  <w:style w:type="paragraph" w:styleId="8">
    <w:name w:val="Body Text Indent 2"/>
    <w:basedOn w:val="1"/>
    <w:qFormat/>
    <w:uiPriority w:val="0"/>
    <w:pPr>
      <w:ind w:firstLine="720"/>
    </w:pPr>
    <w:rPr>
      <w:lang w:val="en-US"/>
    </w:rPr>
  </w:style>
  <w:style w:type="paragraph" w:styleId="9">
    <w:name w:val="footer"/>
    <w:basedOn w:val="1"/>
    <w:qFormat/>
    <w:uiPriority w:val="99"/>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样式 小四 行距: 1.5 倍行距 首行缩进:  2 字符"/>
    <w:basedOn w:val="1"/>
    <w:qFormat/>
    <w:uiPriority w:val="0"/>
    <w:pPr>
      <w:spacing w:line="360" w:lineRule="auto"/>
      <w:ind w:firstLine="480" w:firstLineChars="200"/>
    </w:pPr>
    <w:rPr>
      <w:rFonts w:ascii="Times New Roman" w:hAnsi="Times New Roman" w:cs="宋体"/>
      <w:sz w:val="24"/>
      <w:szCs w:val="20"/>
    </w:rPr>
  </w:style>
  <w:style w:type="paragraph" w:customStyle="1" w:styleId="17">
    <w:name w:val="样式1"/>
    <w:basedOn w:val="1"/>
    <w:qFormat/>
    <w:uiPriority w:val="0"/>
    <w:pPr>
      <w:ind w:firstLine="883" w:firstLineChars="200"/>
    </w:pPr>
    <w:rPr>
      <w:rFonts w:ascii="Calibri" w:hAnsi="Calibri" w:eastAsia="宋体" w:cs="Times New Roman"/>
      <w:sz w:val="30"/>
    </w:rPr>
  </w:style>
  <w:style w:type="paragraph" w:styleId="18">
    <w:name w:val="List Paragraph"/>
    <w:basedOn w:val="1"/>
    <w:qFormat/>
    <w:uiPriority w:val="34"/>
    <w:pPr>
      <w:spacing w:line="360" w:lineRule="auto"/>
      <w:ind w:firstLine="420" w:firstLineChars="200"/>
    </w:pPr>
    <w:rPr>
      <w:rFonts w:ascii="Calibri" w:hAnsi="Calibri" w:eastAsia="仿宋"/>
      <w:sz w:val="30"/>
      <w:szCs w:val="22"/>
    </w:rPr>
  </w:style>
  <w:style w:type="paragraph" w:customStyle="1" w:styleId="19">
    <w:name w:val="15"/>
    <w:basedOn w:val="1"/>
    <w:qFormat/>
    <w:uiPriority w:val="0"/>
    <w:pPr>
      <w:widowControl/>
      <w:spacing w:before="100" w:beforeAutospacing="1" w:after="100" w:afterAutospacing="1"/>
    </w:pPr>
    <w:rPr>
      <w:rFonts w:ascii="宋体" w:hAnsi="宋体" w:cs="宋体"/>
      <w:kern w:val="0"/>
    </w:rPr>
  </w:style>
  <w:style w:type="paragraph" w:customStyle="1" w:styleId="20">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15479</Words>
  <Characters>15839</Characters>
  <Lines>0</Lines>
  <Paragraphs>0</Paragraphs>
  <TotalTime>2</TotalTime>
  <ScaleCrop>false</ScaleCrop>
  <LinksUpToDate>false</LinksUpToDate>
  <CharactersWithSpaces>15947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2024-04-30T01:59:00Z</dcterms:created>
  <dc:creator>MZY</dc:creator>
  <cp:lastModifiedBy>君羊弓虽</cp:lastModifiedBy>
  <dcterms:modified xsi:type="dcterms:W3CDTF">2024-07-04T01:57:03Z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8A471B2DA6054A8791E074757F7D1A5F_13</vt:lpwstr>
  </property>
</Properties>
</file>