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52"/>
          <w:szCs w:val="52"/>
        </w:rPr>
      </w:pPr>
    </w:p>
    <w:p>
      <w:pPr>
        <w:jc w:val="center"/>
        <w:rPr>
          <w:rFonts w:hint="eastAsia" w:ascii="楷体" w:hAnsi="楷体" w:eastAsia="楷体" w:cs="楷体"/>
          <w:b/>
          <w:bCs/>
          <w:sz w:val="52"/>
          <w:szCs w:val="52"/>
        </w:rPr>
      </w:pPr>
    </w:p>
    <w:p>
      <w:pPr>
        <w:jc w:val="center"/>
        <w:rPr>
          <w:rFonts w:hint="eastAsia" w:ascii="楷体" w:hAnsi="楷体" w:eastAsia="楷体" w:cs="楷体"/>
          <w:b/>
          <w:bCs/>
          <w:sz w:val="52"/>
          <w:szCs w:val="52"/>
        </w:rPr>
      </w:pPr>
      <w:r>
        <w:rPr>
          <w:rFonts w:hint="eastAsia" w:ascii="楷体" w:hAnsi="楷体" w:eastAsia="楷体" w:cs="楷体"/>
          <w:b/>
          <w:bCs/>
          <w:sz w:val="52"/>
          <w:szCs w:val="52"/>
        </w:rPr>
        <w:t>湄洲湾职业技术学院</w:t>
      </w:r>
    </w:p>
    <w:p>
      <w:p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采购实施计划</w:t>
      </w:r>
    </w:p>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tbl>
      <w:tblPr>
        <w:tblStyle w:val="11"/>
        <w:tblW w:w="7579" w:type="dxa"/>
        <w:jc w:val="center"/>
        <w:tblInd w:w="0" w:type="dxa"/>
        <w:tblLayout w:type="fixed"/>
        <w:tblCellMar>
          <w:top w:w="0" w:type="dxa"/>
          <w:left w:w="108" w:type="dxa"/>
          <w:bottom w:w="0" w:type="dxa"/>
          <w:right w:w="108" w:type="dxa"/>
        </w:tblCellMar>
      </w:tblPr>
      <w:tblGrid>
        <w:gridCol w:w="2903"/>
        <w:gridCol w:w="4676"/>
      </w:tblGrid>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项目编号：</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rPr>
            </w:pP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rPr>
              <w:t>项目名称：</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rPr>
            </w:pPr>
            <w:r>
              <w:rPr>
                <w:rFonts w:hint="eastAsia" w:ascii="仿宋" w:hAnsi="仿宋" w:eastAsia="仿宋" w:cs="仿宋"/>
                <w:b/>
                <w:sz w:val="24"/>
                <w:lang w:val="en-US" w:eastAsia="zh-CN"/>
              </w:rPr>
              <w:t>公共安全虚拟仿真项目</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rPr>
            </w:pP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lang w:val="en-US" w:eastAsia="zh-CN"/>
              </w:rPr>
              <w:t>申报单位</w:t>
            </w:r>
            <w:r>
              <w:rPr>
                <w:rFonts w:hint="eastAsia" w:ascii="仿宋" w:hAnsi="仿宋" w:eastAsia="仿宋" w:cs="仿宋"/>
                <w:b/>
                <w:bCs/>
                <w:sz w:val="28"/>
                <w:szCs w:val="28"/>
              </w:rPr>
              <w:t>：</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rPr>
            </w:pPr>
            <w:r>
              <w:rPr>
                <w:rFonts w:hint="eastAsia" w:ascii="仿宋" w:hAnsi="仿宋" w:eastAsia="仿宋" w:cs="仿宋"/>
                <w:b/>
                <w:sz w:val="24"/>
                <w:lang w:val="en-US" w:eastAsia="zh-CN"/>
              </w:rPr>
              <w:t>公共实训管理中心</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rPr>
            </w:pPr>
            <w:r>
              <w:rPr>
                <w:rFonts w:hint="eastAsia" w:ascii="仿宋" w:hAnsi="仿宋" w:eastAsia="仿宋" w:cs="仿宋"/>
                <w:b/>
                <w:bCs/>
                <w:sz w:val="28"/>
                <w:szCs w:val="28"/>
                <w:lang w:val="en-US" w:eastAsia="zh-CN"/>
              </w:rPr>
              <w:t>预算金额（万元）</w:t>
            </w:r>
            <w:r>
              <w:rPr>
                <w:rFonts w:hint="eastAsia" w:ascii="仿宋" w:hAnsi="仿宋" w:eastAsia="仿宋" w:cs="仿宋"/>
                <w:b/>
                <w:bCs/>
                <w:sz w:val="28"/>
                <w:szCs w:val="28"/>
              </w:rPr>
              <w:t>：</w:t>
            </w:r>
          </w:p>
        </w:tc>
        <w:tc>
          <w:tcPr>
            <w:tcW w:w="4676" w:type="dxa"/>
            <w:tcBorders>
              <w:top w:val="single" w:color="auto" w:sz="4" w:space="0"/>
              <w:bottom w:val="single" w:color="auto" w:sz="4" w:space="0"/>
            </w:tcBorders>
            <w:noWrap w:val="0"/>
            <w:vAlign w:val="bottom"/>
          </w:tcPr>
          <w:p>
            <w:pPr>
              <w:ind w:firstLine="480"/>
              <w:jc w:val="center"/>
              <w:rPr>
                <w:rFonts w:hint="default" w:ascii="仿宋" w:hAnsi="仿宋" w:eastAsia="仿宋" w:cs="仿宋"/>
                <w:b/>
                <w:sz w:val="24"/>
                <w:lang w:val="en-US"/>
              </w:rPr>
            </w:pPr>
            <w:r>
              <w:rPr>
                <w:rFonts w:hint="eastAsia" w:ascii="仿宋" w:hAnsi="仿宋" w:eastAsia="仿宋" w:cs="仿宋"/>
                <w:b/>
                <w:sz w:val="24"/>
                <w:lang w:val="en-US" w:eastAsia="zh-CN"/>
              </w:rPr>
              <w:t>210</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noWrap w:val="0"/>
            <w:vAlign w:val="bottom"/>
          </w:tcPr>
          <w:p>
            <w:pPr>
              <w:ind w:firstLine="480"/>
              <w:jc w:val="center"/>
              <w:rPr>
                <w:rFonts w:hint="eastAsia" w:ascii="仿宋" w:hAnsi="仿宋" w:eastAsia="仿宋" w:cs="仿宋"/>
                <w:b/>
                <w:sz w:val="24"/>
              </w:rPr>
            </w:pPr>
            <w:r>
              <w:rPr>
                <w:rFonts w:hint="eastAsia" w:ascii="仿宋" w:hAnsi="仿宋" w:eastAsia="仿宋" w:cs="仿宋"/>
                <w:b/>
                <w:sz w:val="24"/>
                <w:lang w:val="en-US" w:eastAsia="zh-CN"/>
              </w:rPr>
              <w:t>高凯伟</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noWrap w:val="0"/>
            <w:vAlign w:val="bottom"/>
          </w:tcPr>
          <w:p>
            <w:pPr>
              <w:ind w:firstLine="480"/>
              <w:jc w:val="center"/>
              <w:rPr>
                <w:rFonts w:hint="eastAsia" w:ascii="仿宋" w:hAnsi="仿宋" w:eastAsia="仿宋" w:cs="仿宋"/>
                <w:b/>
                <w:sz w:val="24"/>
              </w:rPr>
            </w:pPr>
            <w:r>
              <w:rPr>
                <w:rFonts w:hint="eastAsia" w:ascii="仿宋" w:hAnsi="仿宋" w:eastAsia="仿宋" w:cs="仿宋"/>
                <w:b/>
                <w:sz w:val="24"/>
                <w:lang w:val="en-US" w:eastAsia="zh-CN"/>
              </w:rPr>
              <w:t>15659199480</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填报日期：</w:t>
            </w:r>
          </w:p>
        </w:tc>
        <w:tc>
          <w:tcPr>
            <w:tcW w:w="4676" w:type="dxa"/>
            <w:tcBorders>
              <w:top w:val="single" w:color="auto" w:sz="4" w:space="0"/>
              <w:bottom w:val="single" w:color="auto" w:sz="4" w:space="0"/>
            </w:tcBorders>
            <w:noWrap w:val="0"/>
            <w:vAlign w:val="bottom"/>
          </w:tcPr>
          <w:p>
            <w:pPr>
              <w:ind w:firstLine="480"/>
              <w:jc w:val="center"/>
              <w:rPr>
                <w:rFonts w:hint="eastAsia" w:ascii="仿宋" w:hAnsi="仿宋" w:eastAsia="仿宋" w:cs="仿宋"/>
                <w:b/>
                <w:bCs/>
                <w:sz w:val="24"/>
              </w:rPr>
            </w:pPr>
            <w:r>
              <w:rPr>
                <w:rFonts w:hint="eastAsia" w:ascii="仿宋" w:hAnsi="仿宋" w:eastAsia="仿宋" w:cs="仿宋"/>
                <w:b/>
                <w:bCs/>
                <w:sz w:val="24"/>
                <w:lang w:val="en-US" w:eastAsia="zh-CN"/>
              </w:rPr>
              <w:t>2024年6月28日</w:t>
            </w:r>
          </w:p>
        </w:tc>
      </w:tr>
    </w:tbl>
    <w:p>
      <w:pPr>
        <w:pStyle w:val="4"/>
        <w:numPr>
          <w:ilvl w:val="0"/>
          <w:numId w:val="0"/>
        </w:numPr>
        <w:spacing w:before="0" w:after="0" w:line="360" w:lineRule="auto"/>
        <w:ind w:leftChars="0"/>
        <w:rPr>
          <w:rFonts w:hint="eastAsia" w:ascii="宋体" w:hAnsi="宋体" w:eastAsia="宋体" w:cs="Arial"/>
          <w:color w:val="000000"/>
          <w:sz w:val="32"/>
          <w:lang w:val="en-US" w:eastAsia="zh-CN"/>
        </w:rPr>
        <w:sectPr>
          <w:pgSz w:w="11906" w:h="16838"/>
          <w:pgMar w:top="1440" w:right="1800" w:bottom="1440" w:left="1800" w:header="851" w:footer="992" w:gutter="0"/>
          <w:cols w:space="720" w:num="1"/>
          <w:docGrid w:type="lines" w:linePitch="312" w:charSpace="0"/>
        </w:sectPr>
      </w:pPr>
    </w:p>
    <w:p>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pPr>
        <w:widowControl/>
        <w:spacing w:line="560" w:lineRule="atLeast"/>
        <w:ind w:firstLine="640"/>
        <w:jc w:val="left"/>
        <w:rPr>
          <w:rFonts w:ascii="宋体" w:hAnsi="宋体" w:cs="仿宋"/>
          <w:color w:val="000000"/>
          <w:kern w:val="0"/>
          <w:sz w:val="28"/>
          <w:szCs w:val="28"/>
          <w:shd w:val="clear" w:color="auto" w:fill="FFFFFF"/>
        </w:rPr>
      </w:pPr>
    </w:p>
    <w:p>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申购单位负责根据</w:t>
      </w:r>
      <w:r>
        <w:rPr>
          <w:rFonts w:hint="eastAsia" w:ascii="宋体" w:hAnsi="宋体" w:cs="仿宋"/>
          <w:color w:val="000000"/>
          <w:kern w:val="0"/>
          <w:sz w:val="28"/>
          <w:szCs w:val="28"/>
          <w:shd w:val="clear" w:color="auto" w:fill="FFFFFF"/>
        </w:rPr>
        <w:t>采购需求书编制采购实施计划。</w:t>
      </w:r>
    </w:p>
    <w:p>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后勤管理处负责指导申购单位填写“合同订立安排”部分内容。</w:t>
      </w:r>
    </w:p>
    <w:p>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公共实训管理中心负责指导申购单位填写“</w:t>
      </w:r>
      <w:r>
        <w:rPr>
          <w:rFonts w:hint="eastAsia" w:ascii="黑体" w:hAnsi="黑体" w:eastAsia="黑体"/>
          <w:sz w:val="24"/>
          <w:szCs w:val="24"/>
        </w:rPr>
        <w:t>合同</w:t>
      </w:r>
      <w:r>
        <w:rPr>
          <w:rFonts w:hint="eastAsia" w:ascii="黑体" w:hAnsi="黑体" w:eastAsia="黑体"/>
          <w:sz w:val="24"/>
          <w:szCs w:val="24"/>
          <w:lang w:val="en-US" w:eastAsia="zh-CN"/>
        </w:rPr>
        <w:t>管理</w:t>
      </w:r>
      <w:r>
        <w:rPr>
          <w:rFonts w:hint="eastAsia" w:ascii="黑体" w:hAnsi="黑体" w:eastAsia="黑体"/>
          <w:sz w:val="24"/>
          <w:szCs w:val="24"/>
        </w:rPr>
        <w:t>安排</w:t>
      </w:r>
      <w:r>
        <w:rPr>
          <w:rFonts w:hint="eastAsia" w:ascii="宋体" w:hAnsi="宋体" w:cs="仿宋"/>
          <w:color w:val="000000"/>
          <w:kern w:val="0"/>
          <w:sz w:val="28"/>
          <w:szCs w:val="28"/>
          <w:shd w:val="clear" w:color="auto" w:fill="FFFFFF"/>
          <w:lang w:val="en-US" w:eastAsia="zh-CN"/>
        </w:rPr>
        <w:t>”部分内容。</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四</w:t>
      </w:r>
      <w:r>
        <w:rPr>
          <w:rFonts w:hint="eastAsia" w:ascii="宋体" w:hAnsi="宋体" w:cs="仿宋"/>
          <w:color w:val="000000"/>
          <w:kern w:val="0"/>
          <w:sz w:val="28"/>
          <w:szCs w:val="28"/>
          <w:shd w:val="clear" w:color="auto" w:fill="FFFFFF"/>
        </w:rPr>
        <w:t>、编制的采购实施计划应当符合《财政部关于印发政府采购需求管理办法的通知》（财库〔2021〕22号）要求及政府采购的相关规定。</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五</w:t>
      </w:r>
      <w:r>
        <w:rPr>
          <w:rFonts w:hint="eastAsia" w:ascii="宋体" w:hAnsi="宋体" w:cs="仿宋"/>
          <w:color w:val="000000"/>
          <w:kern w:val="0"/>
          <w:sz w:val="28"/>
          <w:szCs w:val="28"/>
          <w:shd w:val="clear" w:color="auto" w:fill="FFFFFF"/>
        </w:rPr>
        <w:t>、斜体字部分属于提醒内容，编制时应删除。</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六</w:t>
      </w:r>
      <w:r>
        <w:rPr>
          <w:rFonts w:hint="eastAsia" w:ascii="宋体" w:hAnsi="宋体" w:cs="仿宋"/>
          <w:color w:val="000000"/>
          <w:kern w:val="0"/>
          <w:sz w:val="28"/>
          <w:szCs w:val="28"/>
          <w:shd w:val="clear" w:color="auto" w:fill="FFFFFF"/>
        </w:rPr>
        <w:t>、对不适用的内容应删除，并调整相应序号。</w:t>
      </w:r>
    </w:p>
    <w:p>
      <w:pPr>
        <w:rPr>
          <w:sz w:val="28"/>
          <w:szCs w:val="28"/>
        </w:rPr>
      </w:pPr>
    </w:p>
    <w:p>
      <w:pPr>
        <w:spacing w:line="360" w:lineRule="auto"/>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p>
    <w:p>
      <w:pPr>
        <w:pStyle w:val="14"/>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pPr>
        <w:widowControl/>
        <w:spacing w:line="360" w:lineRule="auto"/>
        <w:ind w:firstLine="600"/>
        <w:jc w:val="left"/>
        <w:rPr>
          <w:rFonts w:hint="default" w:ascii="宋体" w:hAnsi="宋体" w:eastAsia="宋体" w:cs="仿宋"/>
          <w:sz w:val="24"/>
          <w:szCs w:val="24"/>
          <w:lang w:val="en-US" w:eastAsia="zh-CN"/>
        </w:rPr>
      </w:pPr>
      <w:r>
        <w:rPr>
          <w:rFonts w:hint="eastAsia" w:ascii="宋体" w:hAnsi="宋体" w:cs="仿宋"/>
          <w:sz w:val="24"/>
          <w:szCs w:val="24"/>
        </w:rPr>
        <w:t>1.项目采购预算：（币种）</w:t>
      </w:r>
      <w:r>
        <w:rPr>
          <w:rFonts w:hint="eastAsia" w:ascii="宋体" w:hAnsi="宋体" w:cs="仿宋"/>
          <w:sz w:val="24"/>
          <w:szCs w:val="24"/>
          <w:u w:val="single"/>
          <w:lang w:val="en-US" w:eastAsia="zh-CN"/>
        </w:rPr>
        <w:t>贰佰壹拾万元</w:t>
      </w:r>
      <w:bookmarkStart w:id="15" w:name="_GoBack"/>
      <w:bookmarkEnd w:id="15"/>
      <w:r>
        <w:rPr>
          <w:rFonts w:hint="eastAsia" w:ascii="宋体" w:hAnsi="宋体" w:cs="仿宋"/>
          <w:sz w:val="24"/>
          <w:szCs w:val="24"/>
          <w:u w:val="single"/>
          <w:lang w:val="en-US" w:eastAsia="zh-CN"/>
        </w:rPr>
        <w:t>整</w:t>
      </w:r>
      <w:r>
        <w:rPr>
          <w:rFonts w:hint="eastAsia" w:ascii="宋体" w:hAnsi="宋体" w:cs="仿宋"/>
          <w:sz w:val="24"/>
          <w:szCs w:val="24"/>
        </w:rPr>
        <w:t>，</w:t>
      </w:r>
      <w:r>
        <w:rPr>
          <w:rFonts w:hint="eastAsia" w:ascii="宋体" w:hAnsi="宋体" w:cs="仿宋"/>
          <w:sz w:val="24"/>
          <w:szCs w:val="24"/>
          <w:u w:val="single"/>
          <w:lang w:val="en-US" w:eastAsia="zh-CN"/>
        </w:rPr>
        <w:t>210万元</w:t>
      </w:r>
    </w:p>
    <w:p>
      <w:pPr>
        <w:widowControl/>
        <w:spacing w:line="360" w:lineRule="auto"/>
        <w:ind w:firstLine="600"/>
        <w:jc w:val="left"/>
        <w:rPr>
          <w:rFonts w:ascii="宋体" w:hAnsi="宋体" w:cs="仿宋"/>
          <w:sz w:val="24"/>
          <w:szCs w:val="24"/>
          <w:u w:val="single"/>
        </w:rPr>
      </w:pPr>
      <w:r>
        <w:rPr>
          <w:rFonts w:hint="eastAsia" w:ascii="宋体" w:hAnsi="宋体" w:cs="仿宋"/>
          <w:sz w:val="24"/>
          <w:szCs w:val="24"/>
        </w:rPr>
        <w:t>2.项目最高限价：（币种）</w:t>
      </w:r>
      <w:r>
        <w:rPr>
          <w:rFonts w:hint="eastAsia" w:ascii="宋体" w:hAnsi="宋体" w:cs="仿宋"/>
          <w:sz w:val="24"/>
          <w:szCs w:val="24"/>
          <w:u w:val="single"/>
        </w:rPr>
        <w:t>大写</w:t>
      </w:r>
      <w:r>
        <w:rPr>
          <w:rFonts w:hint="eastAsia" w:ascii="宋体" w:hAnsi="宋体" w:cs="仿宋"/>
          <w:sz w:val="24"/>
          <w:szCs w:val="24"/>
        </w:rPr>
        <w:t>，</w:t>
      </w:r>
      <w:r>
        <w:rPr>
          <w:rFonts w:hint="eastAsia" w:ascii="宋体" w:hAnsi="宋体" w:cs="仿宋"/>
          <w:sz w:val="24"/>
          <w:szCs w:val="24"/>
          <w:u w:val="single"/>
        </w:rPr>
        <w:t>小写</w:t>
      </w:r>
    </w:p>
    <w:p>
      <w:pPr>
        <w:pStyle w:val="14"/>
        <w:spacing w:afterLines="50" w:line="360" w:lineRule="auto"/>
        <w:ind w:firstLine="482"/>
        <w:rPr>
          <w:sz w:val="24"/>
          <w:szCs w:val="24"/>
        </w:rPr>
      </w:pPr>
      <w:bookmarkStart w:id="1" w:name="_Toc23746"/>
      <w:r>
        <w:rPr>
          <w:rFonts w:hint="eastAsia" w:ascii="宋体" w:hAnsi="宋体"/>
          <w:b/>
          <w:bCs/>
          <w:sz w:val="24"/>
          <w:szCs w:val="24"/>
        </w:rPr>
        <w:t>（二）开展采购活动的时间安排</w:t>
      </w:r>
      <w:bookmarkEnd w:id="1"/>
    </w:p>
    <w:tbl>
      <w:tblPr>
        <w:tblStyle w:val="12"/>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82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3827" w:type="dxa"/>
            <w:noWrap/>
            <w:vAlign w:val="to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3261" w:type="dxa"/>
            <w:noWrap/>
            <w:vAlign w:val="to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3261" w:type="dxa"/>
            <w:noWrap/>
            <w:vAlign w:val="top"/>
          </w:tcPr>
          <w:p>
            <w:pPr>
              <w:tabs>
                <w:tab w:val="left" w:pos="864"/>
              </w:tabs>
              <w:spacing w:line="360" w:lineRule="auto"/>
              <w:jc w:val="center"/>
              <w:rPr>
                <w:rFonts w:hint="default" w:ascii="宋体" w:hAnsi="宋体" w:eastAsia="宋体"/>
                <w:b/>
                <w:bCs/>
                <w:kern w:val="0"/>
                <w:sz w:val="24"/>
                <w:szCs w:val="24"/>
                <w:lang w:val="en-US" w:eastAsia="zh-CN"/>
              </w:rPr>
            </w:pPr>
            <w:r>
              <w:rPr>
                <w:rFonts w:hint="eastAsia" w:ascii="宋体" w:hAnsi="宋体"/>
                <w:b/>
                <w:bCs/>
                <w:kern w:val="0"/>
                <w:sz w:val="24"/>
                <w:szCs w:val="24"/>
                <w:lang w:val="en-US" w:eastAsia="zh-CN"/>
              </w:rPr>
              <w:t>2024.6-7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3261" w:type="dxa"/>
            <w:noWrap/>
            <w:vAlign w:val="top"/>
          </w:tcPr>
          <w:p>
            <w:pPr>
              <w:tabs>
                <w:tab w:val="left" w:pos="864"/>
              </w:tabs>
              <w:spacing w:line="360" w:lineRule="auto"/>
              <w:jc w:val="center"/>
              <w:rPr>
                <w:rFonts w:hint="default" w:ascii="宋体" w:hAnsi="宋体" w:eastAsia="宋体"/>
                <w:b/>
                <w:bCs/>
                <w:kern w:val="0"/>
                <w:sz w:val="24"/>
                <w:szCs w:val="24"/>
                <w:lang w:val="en-US" w:eastAsia="zh-CN"/>
              </w:rPr>
            </w:pPr>
            <w:r>
              <w:rPr>
                <w:rFonts w:hint="eastAsia" w:ascii="宋体" w:hAnsi="宋体"/>
                <w:b/>
                <w:bCs/>
                <w:kern w:val="0"/>
                <w:sz w:val="24"/>
                <w:szCs w:val="24"/>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3261" w:type="dxa"/>
            <w:noWrap/>
            <w:vAlign w:val="top"/>
          </w:tcPr>
          <w:p>
            <w:pPr>
              <w:tabs>
                <w:tab w:val="left" w:pos="864"/>
              </w:tabs>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3261" w:type="dxa"/>
            <w:noWrap/>
            <w:vAlign w:val="top"/>
          </w:tcPr>
          <w:p>
            <w:pPr>
              <w:tabs>
                <w:tab w:val="left" w:pos="864"/>
              </w:tabs>
              <w:spacing w:line="360" w:lineRule="auto"/>
              <w:jc w:val="center"/>
              <w:rPr>
                <w:rFonts w:ascii="宋体" w:hAnsi="宋体"/>
                <w:kern w:val="0"/>
                <w:sz w:val="24"/>
                <w:szCs w:val="24"/>
              </w:rPr>
            </w:pPr>
            <w:r>
              <w:rPr>
                <w:rFonts w:hint="eastAsia" w:ascii="宋体" w:hAnsi="宋体"/>
                <w:b/>
                <w:bCs/>
                <w:kern w:val="0"/>
                <w:sz w:val="24"/>
                <w:szCs w:val="24"/>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3261" w:type="dxa"/>
            <w:noWrap/>
            <w:vAlign w:val="top"/>
          </w:tcPr>
          <w:p>
            <w:pPr>
              <w:tabs>
                <w:tab w:val="left" w:pos="864"/>
              </w:tabs>
              <w:spacing w:line="360" w:lineRule="auto"/>
              <w:jc w:val="center"/>
              <w:rPr>
                <w:rFonts w:ascii="宋体" w:hAnsi="宋体"/>
                <w:kern w:val="0"/>
                <w:sz w:val="24"/>
                <w:szCs w:val="24"/>
              </w:rPr>
            </w:pPr>
            <w:r>
              <w:rPr>
                <w:rFonts w:hint="eastAsia" w:ascii="宋体" w:hAnsi="宋体"/>
                <w:b/>
                <w:bCs/>
                <w:kern w:val="0"/>
                <w:sz w:val="24"/>
                <w:szCs w:val="24"/>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3261" w:type="dxa"/>
            <w:noWrap/>
            <w:vAlign w:val="top"/>
          </w:tcPr>
          <w:p>
            <w:pPr>
              <w:tabs>
                <w:tab w:val="left" w:pos="864"/>
              </w:tabs>
              <w:spacing w:line="360" w:lineRule="auto"/>
              <w:jc w:val="center"/>
              <w:rPr>
                <w:rFonts w:ascii="宋体" w:hAnsi="宋体"/>
                <w:kern w:val="0"/>
                <w:sz w:val="24"/>
                <w:szCs w:val="24"/>
              </w:rPr>
            </w:pPr>
            <w:r>
              <w:rPr>
                <w:rFonts w:hint="eastAsia" w:ascii="宋体" w:hAnsi="宋体"/>
                <w:b/>
                <w:bCs/>
                <w:kern w:val="0"/>
                <w:sz w:val="24"/>
                <w:szCs w:val="24"/>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3261" w:type="dxa"/>
            <w:noWrap/>
            <w:vAlign w:val="top"/>
          </w:tcPr>
          <w:p>
            <w:pPr>
              <w:tabs>
                <w:tab w:val="left" w:pos="864"/>
              </w:tabs>
              <w:spacing w:line="360" w:lineRule="auto"/>
              <w:jc w:val="center"/>
              <w:rPr>
                <w:rFonts w:ascii="宋体" w:hAnsi="宋体"/>
                <w:kern w:val="0"/>
                <w:sz w:val="24"/>
                <w:szCs w:val="24"/>
              </w:rPr>
            </w:pPr>
            <w:r>
              <w:rPr>
                <w:rFonts w:hint="eastAsia" w:ascii="宋体" w:hAnsi="宋体"/>
                <w:b/>
                <w:bCs/>
                <w:kern w:val="0"/>
                <w:sz w:val="24"/>
                <w:szCs w:val="24"/>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100" w:type="dxa"/>
            <w:noWrap/>
            <w:vAlign w:val="top"/>
          </w:tcPr>
          <w:p>
            <w:pPr>
              <w:pStyle w:val="15"/>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3261" w:type="dxa"/>
            <w:noWrap/>
            <w:vAlign w:val="top"/>
          </w:tcPr>
          <w:p>
            <w:pPr>
              <w:tabs>
                <w:tab w:val="left" w:pos="864"/>
              </w:tabs>
              <w:spacing w:line="360" w:lineRule="auto"/>
              <w:jc w:val="center"/>
              <w:rPr>
                <w:rFonts w:ascii="宋体" w:hAnsi="宋体"/>
                <w:kern w:val="0"/>
                <w:sz w:val="24"/>
                <w:szCs w:val="24"/>
              </w:rPr>
            </w:pPr>
            <w:r>
              <w:rPr>
                <w:rFonts w:hint="eastAsia" w:ascii="宋体" w:hAnsi="宋体"/>
                <w:b/>
                <w:bCs/>
                <w:kern w:val="0"/>
                <w:sz w:val="24"/>
                <w:szCs w:val="24"/>
                <w:lang w:val="en-US" w:eastAsia="zh-CN"/>
              </w:rPr>
              <w:t>2024.8</w:t>
            </w:r>
          </w:p>
        </w:tc>
      </w:tr>
    </w:tbl>
    <w:p>
      <w:pPr>
        <w:pStyle w:val="14"/>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委托代理公司采购</w:t>
      </w:r>
    </w:p>
    <w:p>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lang w:val="en-US" w:eastAsia="zh-CN"/>
        </w:rPr>
        <w:t>湄洲湾职业技术学院后勤通告</w:t>
      </w:r>
      <w:r>
        <w:rPr>
          <w:rFonts w:hint="eastAsia" w:ascii="宋体" w:hAnsi="宋体" w:cs="仿宋"/>
          <w:sz w:val="24"/>
          <w:szCs w:val="24"/>
        </w:rPr>
        <w:t>主页</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中国政府采购网</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福建</w:t>
      </w:r>
      <w:r>
        <w:rPr>
          <w:rFonts w:hint="eastAsia" w:ascii="宋体" w:hAnsi="宋体" w:cs="仿宋"/>
          <w:sz w:val="24"/>
          <w:szCs w:val="24"/>
        </w:rPr>
        <w:t>省公共资源交易中心网站</w:t>
      </w:r>
    </w:p>
    <w:p>
      <w:pPr>
        <w:widowControl/>
        <w:spacing w:line="360" w:lineRule="auto"/>
        <w:ind w:firstLine="600"/>
        <w:jc w:val="left"/>
        <w:rPr>
          <w:rFonts w:ascii="宋体" w:hAnsi="宋体" w:cs="仿宋"/>
          <w:sz w:val="24"/>
          <w:szCs w:val="24"/>
          <w:u w:val="single"/>
        </w:rPr>
      </w:pPr>
      <w:r>
        <w:rPr>
          <w:rFonts w:hint="eastAsia" w:ascii="宋体" w:hAnsi="宋体" w:cs="仿宋"/>
          <w:sz w:val="24"/>
          <w:szCs w:val="24"/>
        </w:rPr>
        <w:t>□其他：</w:t>
      </w:r>
    </w:p>
    <w:p>
      <w:pPr>
        <w:pStyle w:val="14"/>
        <w:spacing w:line="360" w:lineRule="auto"/>
        <w:ind w:firstLine="482"/>
        <w:rPr>
          <w:rFonts w:ascii="宋体" w:hAnsi="宋体"/>
          <w:b/>
          <w:bCs/>
          <w:sz w:val="24"/>
          <w:szCs w:val="24"/>
        </w:rPr>
      </w:pPr>
      <w:bookmarkStart w:id="3" w:name="_Toc32558"/>
      <w:r>
        <w:rPr>
          <w:rFonts w:hint="eastAsia" w:ascii="宋体" w:hAnsi="宋体"/>
          <w:b/>
          <w:bCs/>
          <w:sz w:val="24"/>
          <w:szCs w:val="24"/>
        </w:rPr>
        <w:t>（四）采购包划分与合同分包</w:t>
      </w:r>
      <w:bookmarkEnd w:id="3"/>
    </w:p>
    <w:p>
      <w:pPr>
        <w:widowControl/>
        <w:spacing w:line="360" w:lineRule="auto"/>
        <w:ind w:firstLine="600"/>
        <w:jc w:val="left"/>
        <w:rPr>
          <w:rFonts w:ascii="宋体" w:hAnsi="宋体" w:cs="仿宋"/>
          <w:sz w:val="24"/>
          <w:szCs w:val="24"/>
        </w:rPr>
      </w:pPr>
      <w:r>
        <w:rPr>
          <w:rFonts w:hint="eastAsia" w:ascii="宋体" w:hAnsi="宋体" w:cs="仿宋"/>
          <w:sz w:val="24"/>
          <w:szCs w:val="24"/>
        </w:rPr>
        <w:t>标包一：</w:t>
      </w:r>
    </w:p>
    <w:p>
      <w:pPr>
        <w:widowControl/>
        <w:spacing w:line="360" w:lineRule="auto"/>
        <w:ind w:firstLine="600"/>
        <w:jc w:val="left"/>
        <w:rPr>
          <w:rFonts w:ascii="宋体" w:hAnsi="宋体" w:cs="仿宋"/>
          <w:sz w:val="24"/>
          <w:szCs w:val="24"/>
        </w:rPr>
      </w:pPr>
      <w:r>
        <w:rPr>
          <w:rFonts w:hint="eastAsia" w:ascii="宋体" w:hAnsi="宋体" w:cs="仿宋"/>
          <w:sz w:val="24"/>
          <w:szCs w:val="24"/>
        </w:rPr>
        <w:t>标包二：</w:t>
      </w:r>
    </w:p>
    <w:p>
      <w:pPr>
        <w:widowControl/>
        <w:spacing w:line="360" w:lineRule="auto"/>
        <w:ind w:firstLine="600"/>
        <w:jc w:val="left"/>
        <w:rPr>
          <w:rFonts w:ascii="宋体" w:hAnsi="宋体" w:cs="仿宋"/>
          <w:sz w:val="24"/>
          <w:szCs w:val="24"/>
        </w:rPr>
      </w:pPr>
      <w:r>
        <w:rPr>
          <w:rFonts w:ascii="宋体" w:hAnsi="宋体" w:cs="仿宋"/>
          <w:sz w:val="24"/>
          <w:szCs w:val="24"/>
        </w:rPr>
        <w:t>……</w:t>
      </w:r>
    </w:p>
    <w:p>
      <w:pPr>
        <w:pStyle w:val="14"/>
        <w:spacing w:line="360" w:lineRule="auto"/>
        <w:ind w:firstLine="482"/>
        <w:rPr>
          <w:rFonts w:ascii="宋体" w:hAnsi="宋体"/>
          <w:b/>
          <w:bCs/>
          <w:sz w:val="24"/>
          <w:szCs w:val="24"/>
        </w:rPr>
      </w:pPr>
      <w:bookmarkStart w:id="4" w:name="_Toc7303"/>
      <w:r>
        <w:rPr>
          <w:rFonts w:hint="eastAsia" w:ascii="宋体" w:hAnsi="宋体"/>
          <w:b/>
          <w:bCs/>
          <w:sz w:val="24"/>
          <w:szCs w:val="24"/>
        </w:rPr>
        <w:t>（五）供应商资格条件</w:t>
      </w:r>
      <w:bookmarkEnd w:id="4"/>
    </w:p>
    <w:p>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pPr>
        <w:pStyle w:val="14"/>
        <w:spacing w:line="360" w:lineRule="auto"/>
        <w:ind w:firstLine="482"/>
        <w:rPr>
          <w:rFonts w:ascii="宋体" w:hAnsi="宋体"/>
          <w:b/>
          <w:bCs/>
          <w:sz w:val="24"/>
          <w:szCs w:val="24"/>
        </w:rPr>
      </w:pPr>
      <w:bookmarkStart w:id="5" w:name="_Toc13060"/>
      <w:r>
        <w:rPr>
          <w:rFonts w:hint="eastAsia" w:ascii="宋体" w:hAnsi="宋体"/>
          <w:b/>
          <w:bCs/>
          <w:sz w:val="24"/>
          <w:szCs w:val="24"/>
        </w:rPr>
        <w:t>（六）采购方式</w:t>
      </w:r>
      <w:bookmarkEnd w:id="5"/>
    </w:p>
    <w:p>
      <w:pPr>
        <w:widowControl/>
        <w:spacing w:line="360" w:lineRule="auto"/>
        <w:ind w:firstLine="600"/>
        <w:jc w:val="left"/>
        <w:rPr>
          <w:rFonts w:ascii="宋体" w:hAnsi="宋体" w:cs="仿宋"/>
          <w:b/>
          <w:sz w:val="24"/>
          <w:szCs w:val="24"/>
        </w:rPr>
      </w:pPr>
      <w:bookmarkStart w:id="6" w:name="_Toc12064"/>
      <w:r>
        <w:rPr>
          <w:rFonts w:hint="eastAsia" w:ascii="宋体" w:hAnsi="宋体" w:cs="仿宋"/>
          <w:b/>
          <w:sz w:val="24"/>
          <w:szCs w:val="24"/>
        </w:rPr>
        <w:sym w:font="Wingdings 2" w:char="0052"/>
      </w:r>
      <w:r>
        <w:rPr>
          <w:rFonts w:hint="eastAsia" w:ascii="宋体" w:hAnsi="宋体" w:cs="仿宋"/>
          <w:b/>
          <w:sz w:val="24"/>
          <w:szCs w:val="24"/>
        </w:rPr>
        <w:t>公开招标（适用法定情形）</w:t>
      </w:r>
    </w:p>
    <w:p>
      <w:pPr>
        <w:widowControl/>
        <w:spacing w:line="360" w:lineRule="auto"/>
        <w:ind w:firstLine="601"/>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达到国家公开招标限额标准的采购项目；</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b/>
          <w:sz w:val="24"/>
          <w:szCs w:val="24"/>
        </w:rPr>
        <w:sym w:font="Wingdings 2" w:char="00A3"/>
      </w:r>
      <w:r>
        <w:rPr>
          <w:rFonts w:hint="eastAsia" w:ascii="宋体" w:hAnsi="宋体" w:cs="仿宋"/>
          <w:b/>
          <w:sz w:val="24"/>
          <w:szCs w:val="24"/>
        </w:rPr>
        <w:t>竞争性磋商（符合情形）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□技术复杂或者性质特殊，不能确定详细规格或者具体要求的；</w:t>
      </w:r>
    </w:p>
    <w:p>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pPr>
        <w:widowControl/>
        <w:spacing w:line="360" w:lineRule="auto"/>
        <w:ind w:firstLine="600"/>
        <w:jc w:val="left"/>
        <w:rPr>
          <w:rFonts w:ascii="宋体" w:hAnsi="宋体" w:cs="仿宋"/>
          <w:b/>
          <w:sz w:val="24"/>
          <w:szCs w:val="24"/>
        </w:rPr>
      </w:pPr>
      <w:r>
        <w:rPr>
          <w:rFonts w:hint="eastAsia" w:ascii="宋体" w:hAnsi="宋体" w:cs="仿宋"/>
          <w:b/>
          <w:sz w:val="24"/>
          <w:szCs w:val="24"/>
        </w:rPr>
        <w:t>□竞争性谈判（适用情形）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pPr>
        <w:pStyle w:val="14"/>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pPr>
        <w:pStyle w:val="9"/>
        <w:spacing w:before="0" w:beforeAutospacing="0" w:after="0" w:afterAutospacing="0" w:line="360" w:lineRule="auto"/>
        <w:ind w:firstLine="480" w:firstLineChars="200"/>
        <w:jc w:val="both"/>
        <w:textAlignment w:val="baseline"/>
      </w:pPr>
      <w:r>
        <w:rPr>
          <w:rFonts w:hint="eastAsia"/>
        </w:rPr>
        <w:t>□只能从唯一供应商处采购的；</w:t>
      </w:r>
    </w:p>
    <w:p>
      <w:pPr>
        <w:pStyle w:val="9"/>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pPr>
        <w:pStyle w:val="9"/>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pPr>
        <w:pStyle w:val="14"/>
        <w:spacing w:line="360" w:lineRule="auto"/>
        <w:ind w:firstLine="482"/>
        <w:rPr>
          <w:rFonts w:ascii="宋体" w:hAnsi="宋体"/>
          <w:sz w:val="24"/>
          <w:szCs w:val="24"/>
        </w:rPr>
      </w:pPr>
      <w:bookmarkStart w:id="7" w:name="_Hlk76973202"/>
      <w:r>
        <w:rPr>
          <w:rFonts w:hint="eastAsia" w:ascii="宋体" w:hAnsi="宋体"/>
          <w:b/>
          <w:sz w:val="24"/>
          <w:szCs w:val="24"/>
        </w:rPr>
        <w:t>□</w:t>
      </w:r>
      <w:bookmarkEnd w:id="7"/>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pPr>
        <w:pStyle w:val="14"/>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pPr>
        <w:pStyle w:val="14"/>
        <w:spacing w:line="360" w:lineRule="auto"/>
        <w:ind w:firstLine="361" w:firstLineChars="150"/>
        <w:rPr>
          <w:rFonts w:ascii="宋体" w:hAnsi="宋体"/>
          <w:b/>
          <w:bCs/>
          <w:sz w:val="24"/>
          <w:szCs w:val="24"/>
        </w:rPr>
      </w:pPr>
      <w:r>
        <w:rPr>
          <w:rFonts w:hint="eastAsia" w:ascii="宋体" w:hAnsi="宋体"/>
          <w:b/>
          <w:bCs/>
          <w:sz w:val="24"/>
          <w:szCs w:val="24"/>
        </w:rPr>
        <w:t>（七）竞争范围</w:t>
      </w:r>
      <w:bookmarkEnd w:id="6"/>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A3"/>
      </w:r>
      <w:r>
        <w:rPr>
          <w:rFonts w:hint="eastAsia" w:ascii="宋体" w:hAnsi="宋体" w:cs="仿宋"/>
          <w:sz w:val="24"/>
          <w:szCs w:val="24"/>
        </w:rPr>
        <w:t>公开邀请</w:t>
      </w:r>
    </w:p>
    <w:p>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pPr>
        <w:pStyle w:val="14"/>
        <w:spacing w:line="360" w:lineRule="auto"/>
        <w:ind w:firstLine="482"/>
        <w:rPr>
          <w:rFonts w:ascii="宋体" w:hAnsi="宋体"/>
          <w:b/>
          <w:bCs/>
          <w:sz w:val="24"/>
          <w:szCs w:val="24"/>
        </w:rPr>
      </w:pPr>
      <w:bookmarkStart w:id="8" w:name="_Toc6783"/>
      <w:r>
        <w:rPr>
          <w:rFonts w:hint="eastAsia" w:ascii="宋体" w:hAnsi="宋体"/>
          <w:b/>
          <w:bCs/>
          <w:sz w:val="24"/>
          <w:szCs w:val="24"/>
        </w:rPr>
        <w:t>（八）评审规则</w:t>
      </w:r>
      <w:bookmarkEnd w:id="8"/>
    </w:p>
    <w:p>
      <w:pPr>
        <w:widowControl/>
        <w:spacing w:line="360" w:lineRule="auto"/>
        <w:ind w:firstLine="600"/>
        <w:jc w:val="left"/>
        <w:rPr>
          <w:rFonts w:ascii="宋体" w:hAnsi="宋体" w:cs="仿宋"/>
          <w:i/>
          <w:sz w:val="24"/>
          <w:szCs w:val="24"/>
        </w:rPr>
      </w:pPr>
      <w:bookmarkStart w:id="9" w:name="_Toc7678"/>
      <w:r>
        <w:rPr>
          <w:rFonts w:hint="eastAsia" w:ascii="宋体" w:hAnsi="宋体" w:cs="仿宋"/>
          <w:sz w:val="24"/>
          <w:szCs w:val="24"/>
        </w:rPr>
        <w:sym w:font="Wingdings 2" w:char="0052"/>
      </w:r>
      <w:r>
        <w:rPr>
          <w:rFonts w:hint="eastAsia" w:ascii="宋体" w:hAnsi="宋体" w:cs="仿宋"/>
          <w:sz w:val="24"/>
          <w:szCs w:val="24"/>
        </w:rPr>
        <w:t>综合评分法</w:t>
      </w:r>
      <w:r>
        <w:rPr>
          <w:rFonts w:hint="eastAsia" w:ascii="宋体" w:hAnsi="宋体" w:cs="仿宋"/>
          <w:i/>
          <w:sz w:val="24"/>
          <w:szCs w:val="24"/>
          <w:u w:val="single"/>
        </w:rPr>
        <w:t>（选择此评审方法原因）</w:t>
      </w:r>
    </w:p>
    <w:p>
      <w:pPr>
        <w:widowControl/>
        <w:spacing w:line="360" w:lineRule="auto"/>
        <w:ind w:firstLine="600"/>
        <w:jc w:val="left"/>
        <w:rPr>
          <w:rFonts w:hint="eastAsia" w:ascii="宋体" w:hAnsi="宋体" w:cs="仿宋"/>
          <w:i/>
          <w:sz w:val="24"/>
          <w:szCs w:val="24"/>
          <w:u w:val="single"/>
        </w:rPr>
      </w:pPr>
      <w:r>
        <w:rPr>
          <w:rFonts w:hint="eastAsia" w:ascii="宋体" w:hAnsi="宋体" w:cs="仿宋"/>
          <w:sz w:val="24"/>
          <w:szCs w:val="24"/>
        </w:rPr>
        <w:t>□最低评标价法</w:t>
      </w:r>
      <w:r>
        <w:rPr>
          <w:rFonts w:hint="eastAsia" w:ascii="宋体" w:hAnsi="宋体" w:cs="仿宋"/>
          <w:i/>
          <w:sz w:val="24"/>
          <w:szCs w:val="24"/>
          <w:u w:val="single"/>
        </w:rPr>
        <w:t>（选择此评审方法原因）</w:t>
      </w:r>
    </w:p>
    <w:p>
      <w:pPr>
        <w:widowControl/>
        <w:spacing w:line="360" w:lineRule="auto"/>
        <w:ind w:firstLine="600"/>
        <w:jc w:val="left"/>
        <w:rPr>
          <w:rFonts w:hint="eastAsia" w:ascii="宋体" w:hAnsi="宋体" w:cs="仿宋"/>
          <w:color w:val="FF0000"/>
          <w:sz w:val="24"/>
          <w:szCs w:val="24"/>
        </w:rPr>
      </w:pPr>
      <w:r>
        <w:rPr>
          <w:rFonts w:hint="eastAsia" w:ascii="宋体" w:hAnsi="宋体" w:cs="仿宋"/>
          <w:color w:val="FF0000"/>
          <w:sz w:val="24"/>
          <w:szCs w:val="24"/>
        </w:rPr>
        <w:t>（</w:t>
      </w:r>
      <w:r>
        <w:rPr>
          <w:rFonts w:hint="eastAsia" w:ascii="宋体" w:hAnsi="宋体" w:cs="仿宋"/>
          <w:color w:val="FF0000"/>
          <w:sz w:val="24"/>
          <w:szCs w:val="24"/>
          <w:lang w:val="en-US" w:eastAsia="zh-CN"/>
        </w:rPr>
        <w:t>附件1 评审规则</w:t>
      </w:r>
      <w:r>
        <w:rPr>
          <w:rFonts w:hint="eastAsia" w:ascii="宋体" w:hAnsi="宋体" w:cs="仿宋"/>
          <w:color w:val="FF0000"/>
          <w:sz w:val="24"/>
          <w:szCs w:val="24"/>
        </w:rPr>
        <w:t>）</w:t>
      </w:r>
    </w:p>
    <w:p>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9"/>
    </w:p>
    <w:p>
      <w:pPr>
        <w:pStyle w:val="14"/>
        <w:spacing w:line="360" w:lineRule="auto"/>
        <w:ind w:firstLine="482"/>
        <w:rPr>
          <w:rFonts w:ascii="宋体" w:hAnsi="宋体"/>
          <w:b/>
          <w:bCs/>
          <w:sz w:val="24"/>
          <w:szCs w:val="24"/>
        </w:rPr>
      </w:pPr>
      <w:bookmarkStart w:id="10" w:name="_Toc21661"/>
      <w:r>
        <w:rPr>
          <w:rFonts w:hint="eastAsia" w:ascii="宋体" w:hAnsi="宋体"/>
          <w:b/>
          <w:bCs/>
          <w:sz w:val="24"/>
          <w:szCs w:val="24"/>
        </w:rPr>
        <w:t>（一）合同类型</w:t>
      </w:r>
      <w:bookmarkEnd w:id="10"/>
    </w:p>
    <w:p>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ascii="宋体" w:hAnsi="宋体" w:cs="仿宋"/>
          <w:sz w:val="24"/>
          <w:szCs w:val="24"/>
        </w:rPr>
        <w:t>买卖合同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pPr>
        <w:pStyle w:val="14"/>
        <w:spacing w:line="360" w:lineRule="auto"/>
        <w:ind w:firstLine="482"/>
        <w:rPr>
          <w:rFonts w:ascii="宋体" w:hAnsi="宋体"/>
          <w:b/>
          <w:bCs/>
          <w:sz w:val="24"/>
          <w:szCs w:val="24"/>
        </w:rPr>
      </w:pPr>
      <w:bookmarkStart w:id="11" w:name="_Toc30617"/>
      <w:r>
        <w:rPr>
          <w:rFonts w:hint="eastAsia" w:ascii="宋体" w:hAnsi="宋体"/>
          <w:b/>
          <w:bCs/>
          <w:sz w:val="24"/>
          <w:szCs w:val="24"/>
        </w:rPr>
        <w:t>（二）定价方式</w:t>
      </w:r>
      <w:bookmarkEnd w:id="11"/>
    </w:p>
    <w:p>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多种方式组合定价</w:t>
      </w:r>
    </w:p>
    <w:p>
      <w:pPr>
        <w:pStyle w:val="14"/>
        <w:spacing w:line="360" w:lineRule="auto"/>
        <w:ind w:firstLine="482"/>
        <w:rPr>
          <w:rFonts w:ascii="宋体" w:hAnsi="宋体"/>
          <w:b/>
          <w:bCs/>
          <w:sz w:val="24"/>
          <w:szCs w:val="24"/>
        </w:rPr>
      </w:pPr>
      <w:bookmarkStart w:id="12" w:name="_Toc23433"/>
      <w:r>
        <w:rPr>
          <w:rFonts w:hint="eastAsia" w:ascii="宋体" w:hAnsi="宋体"/>
          <w:b/>
          <w:bCs/>
          <w:sz w:val="24"/>
          <w:szCs w:val="24"/>
        </w:rPr>
        <w:t>（三）合同</w:t>
      </w:r>
      <w:bookmarkEnd w:id="12"/>
      <w:r>
        <w:rPr>
          <w:rFonts w:hint="eastAsia" w:ascii="宋体" w:hAnsi="宋体"/>
          <w:b/>
          <w:bCs/>
          <w:sz w:val="24"/>
          <w:szCs w:val="24"/>
        </w:rPr>
        <w:t>范本</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设备(软件)购销合同（内贸）</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□设备采购及</w:t>
      </w:r>
      <w:r>
        <w:rPr>
          <w:rFonts w:ascii="宋体" w:hAnsi="宋体" w:cs="仿宋"/>
          <w:sz w:val="24"/>
          <w:szCs w:val="24"/>
        </w:rPr>
        <w:t>安装合同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pPr>
        <w:pStyle w:val="14"/>
        <w:spacing w:line="360" w:lineRule="auto"/>
        <w:ind w:firstLine="482"/>
        <w:rPr>
          <w:rFonts w:ascii="宋体" w:hAnsi="宋体"/>
          <w:b/>
          <w:bCs/>
          <w:sz w:val="24"/>
          <w:szCs w:val="24"/>
        </w:rPr>
      </w:pPr>
      <w:bookmarkStart w:id="13" w:name="_Toc5882"/>
      <w:r>
        <w:rPr>
          <w:rFonts w:hint="eastAsia" w:ascii="宋体" w:hAnsi="宋体"/>
          <w:b/>
          <w:bCs/>
          <w:sz w:val="24"/>
          <w:szCs w:val="24"/>
        </w:rPr>
        <w:t>（五）风险管控措施</w:t>
      </w:r>
      <w:bookmarkEnd w:id="13"/>
    </w:p>
    <w:p>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pPr>
        <w:widowControl/>
        <w:spacing w:line="360" w:lineRule="auto"/>
        <w:ind w:firstLine="600"/>
        <w:jc w:val="left"/>
        <w:rPr>
          <w:rFonts w:ascii="宋体" w:hAnsi="宋体" w:cs="仿宋"/>
          <w:sz w:val="24"/>
          <w:szCs w:val="24"/>
        </w:rPr>
      </w:pPr>
      <w:bookmarkStart w:id="14" w:name="_Hlk76974208"/>
      <w:r>
        <w:rPr>
          <w:rFonts w:hint="eastAsia" w:ascii="宋体" w:hAnsi="宋体" w:cs="仿宋"/>
          <w:sz w:val="24"/>
          <w:szCs w:val="24"/>
        </w:rPr>
        <w:sym w:font="Wingdings 2" w:char="0052"/>
      </w:r>
      <w:r>
        <w:rPr>
          <w:rFonts w:hint="eastAsia" w:ascii="宋体" w:hAnsi="宋体" w:cs="仿宋"/>
          <w:sz w:val="24"/>
          <w:szCs w:val="24"/>
        </w:rPr>
        <w:t>有□无</w:t>
      </w:r>
      <w:bookmarkEnd w:id="14"/>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2"/>
        <w:rPr>
          <w:rFonts w:hint="eastAsia" w:ascii="黑体" w:hAnsi="黑体" w:eastAsia="黑体" w:cs="黑体"/>
          <w:sz w:val="21"/>
          <w:szCs w:val="21"/>
          <w:lang w:val="en-US" w:eastAsia="zh-CN"/>
        </w:rPr>
      </w:pPr>
    </w:p>
    <w:p>
      <w:pPr>
        <w:pStyle w:val="4"/>
        <w:numPr>
          <w:ilvl w:val="0"/>
          <w:numId w:val="0"/>
        </w:numPr>
        <w:spacing w:before="0" w:after="0" w:line="360" w:lineRule="auto"/>
        <w:ind w:leftChars="0"/>
        <w:rPr>
          <w:rFonts w:hint="eastAsia" w:ascii="宋体" w:hAnsi="宋体" w:eastAsia="宋体" w:cs="Arial"/>
          <w:color w:val="000000"/>
          <w:sz w:val="32"/>
          <w:lang w:val="en-US" w:eastAsia="zh-CN"/>
        </w:rPr>
      </w:pPr>
      <w:r>
        <w:rPr>
          <w:rFonts w:hint="eastAsia" w:ascii="宋体" w:hAnsi="宋体" w:eastAsia="宋体" w:cs="Arial"/>
          <w:color w:val="000000"/>
          <w:sz w:val="32"/>
          <w:lang w:val="en-US" w:eastAsia="zh-CN"/>
        </w:rPr>
        <w:t>附件1                   评审规则</w:t>
      </w:r>
    </w:p>
    <w:p>
      <w:pPr>
        <w:pStyle w:val="2"/>
        <w:rPr>
          <w:rFonts w:hint="default"/>
          <w:lang w:val="en-US" w:eastAsia="zh-CN"/>
        </w:rPr>
      </w:pPr>
    </w:p>
    <w:p>
      <w:pPr>
        <w:numPr>
          <w:ilvl w:val="0"/>
          <w:numId w:val="3"/>
        </w:numPr>
        <w:rPr>
          <w:rFonts w:hint="eastAsia" w:ascii="Times New Roman" w:hAnsi="Times New Roman" w:eastAsia="宋体" w:cs="Times New Roman"/>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ascii="Times New Roman" w:hAnsi="Times New Roman" w:eastAsia="宋体" w:cs="Times New Roman"/>
          <w:color w:val="000000"/>
        </w:rPr>
        <w:t>综合评分法。</w:t>
      </w:r>
    </w:p>
    <w:p>
      <w:pPr>
        <w:numPr>
          <w:ilvl w:val="0"/>
          <w:numId w:val="3"/>
        </w:numPr>
        <w:rPr>
          <w:rFonts w:hint="eastAsia"/>
          <w:b/>
          <w:bCs/>
          <w:color w:val="000000"/>
        </w:rPr>
      </w:pPr>
      <w:r>
        <w:rPr>
          <w:rFonts w:hint="eastAsia"/>
          <w:b/>
          <w:bCs/>
          <w:color w:val="000000"/>
        </w:rPr>
        <w:t>评标标准</w:t>
      </w:r>
    </w:p>
    <w:p>
      <w:pPr>
        <w:rPr>
          <w:rFonts w:hint="eastAsia" w:ascii="Times New Roman" w:hAnsi="Times New Roman" w:eastAsia="宋体" w:cs="Times New Roman"/>
          <w:color w:val="000000"/>
        </w:rPr>
      </w:pPr>
      <w:r>
        <w:rPr>
          <w:rFonts w:hint="eastAsia" w:ascii="Times New Roman" w:hAnsi="Times New Roman" w:eastAsia="宋体" w:cs="Times New Roman"/>
          <w:color w:val="000000"/>
        </w:rPr>
        <w:t>（1）投标文件满足招标文件全部实质性要求，且按照评审因素的量化指标评审得分（即评标总得分）最高的投标人为中标候选人。</w:t>
      </w:r>
    </w:p>
    <w:p>
      <w:pPr>
        <w:rPr>
          <w:rFonts w:hint="eastAsia" w:ascii="Times New Roman" w:hAnsi="Times New Roman" w:eastAsia="宋体" w:cs="Times New Roman"/>
          <w:color w:val="000000"/>
        </w:rPr>
      </w:pPr>
      <w:r>
        <w:rPr>
          <w:rFonts w:hint="eastAsia" w:ascii="Times New Roman" w:hAnsi="Times New Roman" w:eastAsia="宋体" w:cs="Times New Roman"/>
          <w:color w:val="00000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（3）各项评审因素的设置如下：</w:t>
      </w:r>
    </w:p>
    <w:p>
      <w:pPr>
        <w:widowControl/>
        <w:spacing w:before="100" w:beforeAutospacing="1" w:after="100" w:afterAutospacing="1"/>
        <w:ind w:firstLine="48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①价格项（F1×A1）满分为</w:t>
      </w:r>
      <w:r>
        <w:rPr>
          <w:rFonts w:hint="eastAsia" w:ascii="宋体" w:hAnsi="宋体" w:cs="宋体"/>
          <w:b/>
          <w:bCs/>
          <w:kern w:val="0"/>
          <w:sz w:val="24"/>
          <w:szCs w:val="24"/>
          <w:lang w:val="en-US" w:eastAsia="zh-CN"/>
        </w:rPr>
        <w:t>25</w:t>
      </w:r>
      <w:r>
        <w:rPr>
          <w:rFonts w:hint="eastAsia" w:ascii="宋体" w:hAnsi="宋体" w:eastAsia="宋体" w:cs="宋体"/>
          <w:b/>
          <w:bCs/>
          <w:kern w:val="0"/>
          <w:sz w:val="24"/>
          <w:szCs w:val="24"/>
        </w:rPr>
        <w:t>分。</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hint="eastAsia" w:ascii="宋体" w:hAnsi="宋体" w:eastAsia="宋体" w:cs="宋体"/>
          <w:kern w:val="0"/>
          <w:sz w:val="24"/>
          <w:szCs w:val="24"/>
        </w:rPr>
        <w:t>（评标基准价／投标报价）×</w:t>
      </w:r>
      <w:r>
        <w:rPr>
          <w:rFonts w:ascii="Calibri" w:hAnsi="Calibri" w:eastAsia="宋体" w:cs="Calibri"/>
          <w:kern w:val="0"/>
          <w:sz w:val="24"/>
          <w:szCs w:val="24"/>
        </w:rPr>
        <w:t>100</w:t>
      </w:r>
      <w:r>
        <w:rPr>
          <w:rFonts w:hint="eastAsia" w:ascii="宋体" w:hAnsi="宋体" w:eastAsia="宋体" w:cs="宋体"/>
          <w:kern w:val="0"/>
          <w:sz w:val="24"/>
          <w:szCs w:val="24"/>
        </w:rPr>
        <w:t>。因落实政府采购政策需进行价格扣除的，以扣除后的价格计算评标基准价和投标报价。</w:t>
      </w:r>
    </w:p>
    <w:p>
      <w:pPr>
        <w:widowControl/>
        <w:spacing w:before="100" w:beforeAutospacing="1" w:after="100" w:afterAutospacing="1"/>
        <w:ind w:firstLine="480"/>
        <w:jc w:val="left"/>
        <w:rPr>
          <w:rFonts w:ascii="宋体" w:hAnsi="宋体" w:eastAsia="宋体" w:cs="宋体"/>
          <w:kern w:val="0"/>
          <w:sz w:val="24"/>
          <w:szCs w:val="24"/>
        </w:rPr>
      </w:pPr>
      <w:r>
        <w:rPr>
          <w:rFonts w:ascii="Calibri" w:hAnsi="Calibri" w:eastAsia="宋体" w:cs="Calibri"/>
          <w:kern w:val="0"/>
          <w:sz w:val="24"/>
          <w:szCs w:val="24"/>
        </w:rPr>
        <w:t>b.</w:t>
      </w:r>
      <w:r>
        <w:rPr>
          <w:rFonts w:hint="eastAsia" w:ascii="宋体" w:hAnsi="宋体" w:eastAsia="宋体" w:cs="宋体"/>
          <w:kern w:val="0"/>
          <w:sz w:val="24"/>
          <w:szCs w:val="24"/>
        </w:rPr>
        <w:t>价格扣除的规则如下：</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93"/>
        <w:gridCol w:w="71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119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节能产品</w:t>
            </w:r>
          </w:p>
        </w:tc>
        <w:tc>
          <w:tcPr>
            <w:tcW w:w="71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rPr>
          <w:rFonts w:hint="eastAsia"/>
          <w:b/>
          <w:bCs/>
          <w:color w:val="000000"/>
        </w:rPr>
      </w:pPr>
    </w:p>
    <w:p>
      <w:pPr>
        <w:rPr>
          <w:rFonts w:hint="eastAsia"/>
          <w:b/>
          <w:bCs/>
          <w:color w:val="000000"/>
        </w:rPr>
      </w:pPr>
    </w:p>
    <w:p>
      <w:pPr>
        <w:rPr>
          <w:rFonts w:hint="eastAsia"/>
          <w:b/>
          <w:bCs/>
          <w:color w:val="000000"/>
        </w:rPr>
      </w:pPr>
    </w:p>
    <w:p>
      <w:pPr>
        <w:widowControl/>
        <w:spacing w:before="100" w:beforeAutospacing="1" w:after="100" w:afterAutospacing="1"/>
        <w:ind w:firstLine="48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②技术项（</w:t>
      </w:r>
      <w:r>
        <w:rPr>
          <w:rFonts w:ascii="Calibri" w:hAnsi="Calibri" w:eastAsia="宋体" w:cs="Calibri"/>
          <w:b/>
          <w:bCs/>
          <w:kern w:val="0"/>
          <w:sz w:val="24"/>
          <w:szCs w:val="24"/>
        </w:rPr>
        <w:t>F2</w:t>
      </w:r>
      <w:r>
        <w:rPr>
          <w:rFonts w:hint="eastAsia" w:ascii="宋体" w:hAnsi="宋体" w:eastAsia="宋体" w:cs="宋体"/>
          <w:b/>
          <w:bCs/>
          <w:kern w:val="0"/>
          <w:sz w:val="24"/>
          <w:szCs w:val="24"/>
        </w:rPr>
        <w:t>×</w:t>
      </w:r>
      <w:r>
        <w:rPr>
          <w:rFonts w:ascii="Calibri" w:hAnsi="Calibri" w:eastAsia="宋体" w:cs="Calibri"/>
          <w:b/>
          <w:bCs/>
          <w:kern w:val="0"/>
          <w:sz w:val="24"/>
          <w:szCs w:val="24"/>
        </w:rPr>
        <w:t>A2</w:t>
      </w:r>
      <w:r>
        <w:rPr>
          <w:rFonts w:hint="eastAsia" w:ascii="宋体" w:hAnsi="宋体" w:eastAsia="宋体" w:cs="宋体"/>
          <w:b/>
          <w:bCs/>
          <w:kern w:val="0"/>
          <w:sz w:val="24"/>
          <w:szCs w:val="24"/>
        </w:rPr>
        <w:t>）满分为</w:t>
      </w:r>
      <w:r>
        <w:rPr>
          <w:rFonts w:hint="eastAsia" w:ascii="宋体" w:hAnsi="宋体" w:eastAsia="宋体" w:cs="宋体"/>
          <w:b/>
          <w:bCs/>
          <w:kern w:val="0"/>
          <w:sz w:val="24"/>
          <w:szCs w:val="24"/>
          <w:u w:val="single"/>
          <w:lang w:val="en-US" w:eastAsia="zh-CN"/>
        </w:rPr>
        <w:t>6</w:t>
      </w:r>
      <w:r>
        <w:rPr>
          <w:rFonts w:hint="eastAsia" w:ascii="宋体" w:hAnsi="宋体" w:cs="宋体"/>
          <w:b/>
          <w:bCs/>
          <w:kern w:val="0"/>
          <w:sz w:val="24"/>
          <w:szCs w:val="24"/>
          <w:u w:val="single"/>
          <w:lang w:val="en-US" w:eastAsia="zh-CN"/>
        </w:rPr>
        <w:t>5</w:t>
      </w:r>
      <w:r>
        <w:rPr>
          <w:rFonts w:hint="eastAsia" w:ascii="宋体" w:hAnsi="宋体" w:eastAsia="宋体" w:cs="宋体"/>
          <w:b/>
          <w:bCs/>
          <w:kern w:val="0"/>
          <w:sz w:val="24"/>
          <w:szCs w:val="24"/>
        </w:rPr>
        <w:t>分。</w:t>
      </w:r>
    </w:p>
    <w:tbl>
      <w:tblPr>
        <w:tblStyle w:val="11"/>
        <w:tblW w:w="8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456"/>
        <w:gridCol w:w="7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评标项目</w:t>
            </w:r>
          </w:p>
        </w:tc>
        <w:tc>
          <w:tcPr>
            <w:tcW w:w="4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评标分值</w:t>
            </w:r>
          </w:p>
        </w:tc>
        <w:tc>
          <w:tcPr>
            <w:tcW w:w="71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1.技术和服务要求响应情况</w:t>
            </w:r>
          </w:p>
        </w:tc>
        <w:tc>
          <w:tcPr>
            <w:tcW w:w="4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48</w:t>
            </w:r>
          </w:p>
        </w:tc>
        <w:tc>
          <w:tcPr>
            <w:tcW w:w="71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由评委根据投标人的投标文件对“第五章招标内容及要求”中逐项应标情况是否偏离进行评议和打分，投标人全部响应“第五章招标内容及要求”中各项技术服务要求的得满分；技术要求，</w:t>
            </w:r>
            <w:r>
              <w:rPr>
                <w:rFonts w:hint="eastAsia" w:ascii="宋体" w:hAnsi="宋体" w:eastAsia="宋体" w:cs="宋体"/>
                <w:color w:val="000000"/>
                <w:kern w:val="0"/>
                <w:sz w:val="24"/>
                <w:szCs w:val="24"/>
                <w:highlight w:val="none"/>
                <w:lang w:val="en-US" w:eastAsia="zh-CN" w:bidi="ar"/>
              </w:rPr>
              <w:t>非</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4"/>
                <w:szCs w:val="24"/>
                <w:highlight w:val="none"/>
                <w:lang w:val="en-US" w:eastAsia="zh-CN" w:bidi="ar"/>
              </w:rPr>
              <w:t>号的技术参数及功能要求每有一项不满足的扣1 分；带</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4"/>
                <w:szCs w:val="24"/>
                <w:highlight w:val="none"/>
                <w:lang w:val="en-US" w:eastAsia="zh-CN" w:bidi="ar"/>
              </w:rPr>
              <w:t>号的技术参数及功能要求为重要技术指标，每有一项不满足的扣 2 分；扣完为止。</w:t>
            </w:r>
          </w:p>
          <w:p>
            <w:pPr>
              <w:keepNext w:val="0"/>
              <w:keepLines w:val="0"/>
              <w:widowControl/>
              <w:suppressLineNumbers w:val="0"/>
              <w:jc w:val="left"/>
              <w:rPr>
                <w:rFonts w:hint="eastAsia" w:ascii="宋体" w:hAnsi="宋体" w:eastAsia="宋体" w:cs="宋体"/>
                <w:i w:val="0"/>
                <w:iCs w:val="0"/>
                <w:color w:val="000000"/>
                <w:sz w:val="24"/>
                <w:szCs w:val="24"/>
                <w:highlight w:val="none"/>
                <w:u w:val="none"/>
              </w:rPr>
            </w:pPr>
            <w:r>
              <w:rPr>
                <w:rFonts w:hint="eastAsia"/>
                <w:sz w:val="24"/>
                <w:szCs w:val="24"/>
                <w:highlight w:val="none"/>
              </w:rPr>
              <w:t>注：凡标有“指标项”即为一项技术条款，无论是否隶属于原有的技术参数序号，每个标有“指标项”中参数出现负偏离的，无论其中偏离几项，均视为该指标项对应的参数负偏离，按照一项负偏离对应分值进行扣分，投标人须按照本文件所列的所有技术要求如实地填写逐项响应，并列出偏离情况；因编排错乱或响应不完整而导致的不利评审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2.现场演示（总时长不超过15分钟）</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 VR一体机虚拟现实实训终端内置Control panel工具软件，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立体效果测试（可佩戴 3D 眼镜查看模型显示的立体效果是否正常）、空间定位笔查看（可实时查看定位笔的连接状态、姿态数据是否正常，按键功能是否正常，可调节测试震动强度等）、追踪系统测试（可实时确认追踪系统功能调用是否正常；将追踪眼镜置入追踪范围内可检测追踪状态及眼镜空间坐标值的变化是否正常；连接上定位笔，将定位笔置入追踪范围内可检测追踪状态及定位笔空间坐标值、旋转值的变化是否正常）。</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要求现场</w:t>
            </w:r>
            <w:r>
              <w:rPr>
                <w:rFonts w:ascii="宋体" w:hAnsi="宋体" w:eastAsia="宋体" w:cs="宋体"/>
                <w:color w:val="auto"/>
                <w:kern w:val="0"/>
                <w:sz w:val="24"/>
                <w:szCs w:val="24"/>
                <w:highlight w:val="none"/>
                <w:lang w:val="en-US" w:eastAsia="zh-CN" w:bidi="ar"/>
              </w:rPr>
              <w:t>演示，</w:t>
            </w:r>
            <w:r>
              <w:rPr>
                <w:rFonts w:hint="eastAsia" w:ascii="宋体" w:hAnsi="宋体" w:eastAsia="宋体" w:cs="宋体"/>
                <w:color w:val="auto"/>
                <w:kern w:val="0"/>
                <w:sz w:val="24"/>
                <w:szCs w:val="24"/>
                <w:highlight w:val="none"/>
                <w:lang w:val="en-US" w:eastAsia="zh-CN" w:bidi="ar"/>
              </w:rPr>
              <w:t>全部满足</w:t>
            </w:r>
            <w:r>
              <w:rPr>
                <w:rFonts w:ascii="宋体" w:hAnsi="宋体" w:eastAsia="宋体" w:cs="宋体"/>
                <w:color w:val="auto"/>
                <w:kern w:val="0"/>
                <w:sz w:val="24"/>
                <w:szCs w:val="24"/>
                <w:highlight w:val="none"/>
                <w:lang w:val="en-US" w:eastAsia="zh-CN" w:bidi="ar"/>
              </w:rPr>
              <w:t>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，部分满足或未提供演示</w:t>
            </w:r>
            <w:r>
              <w:rPr>
                <w:rFonts w:ascii="宋体" w:hAnsi="宋体" w:eastAsia="宋体" w:cs="宋体"/>
                <w:color w:val="auto"/>
                <w:kern w:val="0"/>
                <w:sz w:val="24"/>
                <w:szCs w:val="24"/>
                <w:highlight w:val="none"/>
                <w:lang w:val="en-US" w:eastAsia="zh-CN" w:bidi="ar"/>
              </w:rPr>
              <w:t>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0" w:hRule="atLeast"/>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仿宋" w:hAnsi="仿宋" w:cs="宋体"/>
                <w:color w:val="000000"/>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 VR一体机功能验证演示</w:t>
            </w:r>
            <w:r>
              <w:rPr>
                <w:rFonts w:hint="eastAsia" w:ascii="仿宋" w:hAnsi="仿宋" w:cs="宋体"/>
                <w:color w:val="000000"/>
                <w:kern w:val="0"/>
                <w:sz w:val="24"/>
                <w:szCs w:val="24"/>
                <w:highlight w:val="none"/>
              </w:rPr>
              <w:t>配套</w:t>
            </w:r>
            <w:r>
              <w:rPr>
                <w:rFonts w:hint="eastAsia" w:ascii="仿宋" w:hAnsi="仿宋" w:cs="宋体"/>
                <w:color w:val="000000"/>
                <w:kern w:val="0"/>
                <w:sz w:val="24"/>
                <w:szCs w:val="24"/>
                <w:highlight w:val="none"/>
                <w:lang w:val="en-US" w:eastAsia="zh-CN"/>
              </w:rPr>
              <w:t>VR功能验证模型类软件：</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仿宋" w:hAnsi="仿宋" w:cs="宋体"/>
                <w:color w:val="000000"/>
                <w:kern w:val="0"/>
                <w:sz w:val="24"/>
                <w:szCs w:val="24"/>
                <w:highlight w:val="none"/>
              </w:rPr>
            </w:pPr>
            <w:r>
              <w:rPr>
                <w:rFonts w:hint="eastAsia" w:ascii="仿宋" w:hAnsi="仿宋" w:cs="宋体"/>
                <w:color w:val="000000"/>
                <w:kern w:val="0"/>
                <w:sz w:val="24"/>
                <w:szCs w:val="24"/>
                <w:highlight w:val="none"/>
              </w:rPr>
              <w:t>（1）</w:t>
            </w:r>
            <w:r>
              <w:rPr>
                <w:rFonts w:hint="eastAsia" w:ascii="仿宋" w:hAnsi="仿宋" w:cs="宋体"/>
                <w:color w:val="000000"/>
                <w:kern w:val="0"/>
                <w:sz w:val="24"/>
                <w:szCs w:val="24"/>
                <w:highlight w:val="none"/>
                <w:lang w:val="en-US" w:eastAsia="zh-CN"/>
              </w:rPr>
              <w:t>活动场景</w:t>
            </w:r>
            <w:r>
              <w:rPr>
                <w:rFonts w:hint="eastAsia" w:ascii="仿宋" w:hAnsi="仿宋" w:cs="宋体"/>
                <w:color w:val="000000"/>
                <w:kern w:val="0"/>
                <w:sz w:val="24"/>
                <w:szCs w:val="24"/>
                <w:highlight w:val="none"/>
              </w:rPr>
              <w:t>：利用VR一体机的特点，用户可以感受丰富多彩的</w:t>
            </w:r>
            <w:r>
              <w:rPr>
                <w:rFonts w:hint="eastAsia" w:ascii="仿宋" w:hAnsi="仿宋" w:cs="宋体"/>
                <w:color w:val="000000"/>
                <w:kern w:val="0"/>
                <w:sz w:val="24"/>
                <w:szCs w:val="24"/>
                <w:highlight w:val="none"/>
                <w:lang w:val="en-US" w:eastAsia="zh-CN"/>
              </w:rPr>
              <w:t>物体</w:t>
            </w:r>
            <w:r>
              <w:rPr>
                <w:rFonts w:hint="eastAsia" w:ascii="仿宋" w:hAnsi="仿宋" w:cs="宋体"/>
                <w:color w:val="000000"/>
                <w:kern w:val="0"/>
                <w:sz w:val="24"/>
                <w:szCs w:val="24"/>
                <w:highlight w:val="none"/>
              </w:rPr>
              <w:t>近在眼前的效果 ，还可以抓起</w:t>
            </w:r>
            <w:r>
              <w:rPr>
                <w:rFonts w:hint="eastAsia" w:ascii="仿宋" w:hAnsi="仿宋" w:cs="宋体"/>
                <w:color w:val="000000"/>
                <w:kern w:val="0"/>
                <w:sz w:val="24"/>
                <w:szCs w:val="24"/>
                <w:highlight w:val="none"/>
                <w:lang w:val="en-US" w:eastAsia="zh-CN"/>
              </w:rPr>
              <w:t>活动的物体</w:t>
            </w:r>
            <w:r>
              <w:rPr>
                <w:rFonts w:hint="eastAsia" w:ascii="仿宋" w:hAnsi="仿宋" w:cs="宋体"/>
                <w:color w:val="000000"/>
                <w:kern w:val="0"/>
                <w:sz w:val="24"/>
                <w:szCs w:val="24"/>
                <w:highlight w:val="none"/>
              </w:rPr>
              <w:t>，</w:t>
            </w:r>
            <w:r>
              <w:rPr>
                <w:rFonts w:hint="eastAsia" w:ascii="仿宋" w:hAnsi="仿宋" w:cs="宋体"/>
                <w:color w:val="000000"/>
                <w:kern w:val="0"/>
                <w:sz w:val="24"/>
                <w:szCs w:val="24"/>
                <w:highlight w:val="none"/>
                <w:lang w:val="en-US" w:eastAsia="zh-CN"/>
              </w:rPr>
              <w:t>并</w:t>
            </w:r>
            <w:r>
              <w:rPr>
                <w:rFonts w:hint="eastAsia" w:ascii="仿宋" w:hAnsi="仿宋" w:cs="宋体"/>
                <w:color w:val="000000"/>
                <w:kern w:val="0"/>
                <w:sz w:val="24"/>
                <w:szCs w:val="24"/>
                <w:highlight w:val="none"/>
              </w:rPr>
              <w:t>360观察它的形态和动作。</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cs="宋体"/>
                <w:color w:val="000000"/>
                <w:kern w:val="0"/>
                <w:sz w:val="24"/>
                <w:szCs w:val="24"/>
                <w:highlight w:val="none"/>
              </w:rPr>
            </w:pPr>
            <w:r>
              <w:rPr>
                <w:rFonts w:hint="eastAsia" w:ascii="仿宋" w:hAnsi="仿宋" w:cs="宋体"/>
                <w:color w:val="000000"/>
                <w:kern w:val="0"/>
                <w:sz w:val="24"/>
                <w:szCs w:val="24"/>
                <w:highlight w:val="none"/>
              </w:rPr>
              <w:t>（2）</w:t>
            </w:r>
            <w:r>
              <w:rPr>
                <w:rFonts w:hint="eastAsia" w:ascii="仿宋" w:hAnsi="仿宋" w:cs="宋体"/>
                <w:color w:val="000000"/>
                <w:kern w:val="0"/>
                <w:sz w:val="24"/>
                <w:szCs w:val="24"/>
                <w:highlight w:val="none"/>
                <w:lang w:val="en-US" w:eastAsia="zh-CN"/>
              </w:rPr>
              <w:t>结构</w:t>
            </w:r>
            <w:r>
              <w:rPr>
                <w:rFonts w:hint="eastAsia" w:ascii="仿宋" w:hAnsi="仿宋" w:cs="宋体"/>
                <w:color w:val="000000"/>
                <w:kern w:val="0"/>
                <w:sz w:val="24"/>
                <w:szCs w:val="24"/>
                <w:highlight w:val="none"/>
              </w:rPr>
              <w:t>探索：利用VR一体机的特点，探索模块包含</w:t>
            </w:r>
            <w:r>
              <w:rPr>
                <w:rFonts w:hint="eastAsia" w:ascii="仿宋" w:hAnsi="仿宋" w:cs="宋体"/>
                <w:color w:val="000000"/>
                <w:kern w:val="0"/>
                <w:sz w:val="24"/>
                <w:szCs w:val="24"/>
                <w:highlight w:val="none"/>
                <w:lang w:val="en-US" w:eastAsia="zh-CN"/>
              </w:rPr>
              <w:t>某一个</w:t>
            </w:r>
            <w:r>
              <w:rPr>
                <w:rFonts w:hint="eastAsia" w:ascii="仿宋" w:hAnsi="仿宋" w:cs="宋体"/>
                <w:color w:val="000000"/>
                <w:kern w:val="0"/>
                <w:sz w:val="24"/>
                <w:szCs w:val="24"/>
                <w:highlight w:val="none"/>
              </w:rPr>
              <w:t>剖面的整体及分层展示两部分，整体模型上均标注序号，点击序号可旋转视角到指定结构，并显示对应的结构名称和注释。剖面结构可分层展开，所有分开展示的剖面模型均可自由拖动旋转缩放，并且选中任一模型，均显示对应结构名称及结构注释。</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仿宋" w:hAnsi="仿宋" w:cs="宋体"/>
                <w:color w:val="000000"/>
                <w:kern w:val="0"/>
                <w:sz w:val="24"/>
                <w:szCs w:val="24"/>
                <w:highlight w:val="none"/>
              </w:rPr>
            </w:pPr>
            <w:r>
              <w:rPr>
                <w:rFonts w:hint="eastAsia" w:ascii="仿宋" w:hAnsi="仿宋" w:cs="宋体"/>
                <w:color w:val="000000"/>
                <w:kern w:val="0"/>
                <w:sz w:val="24"/>
                <w:szCs w:val="24"/>
                <w:highlight w:val="none"/>
              </w:rPr>
              <w:t>（3）</w:t>
            </w:r>
            <w:r>
              <w:rPr>
                <w:rFonts w:hint="eastAsia" w:ascii="仿宋" w:hAnsi="仿宋" w:cs="宋体"/>
                <w:color w:val="000000"/>
                <w:kern w:val="0"/>
                <w:sz w:val="24"/>
                <w:szCs w:val="24"/>
                <w:highlight w:val="none"/>
                <w:lang w:val="en-US" w:eastAsia="zh-CN"/>
              </w:rPr>
              <w:t>结构模型</w:t>
            </w:r>
            <w:r>
              <w:rPr>
                <w:rFonts w:hint="eastAsia" w:ascii="仿宋" w:hAnsi="仿宋" w:cs="宋体"/>
                <w:color w:val="000000"/>
                <w:kern w:val="0"/>
                <w:sz w:val="24"/>
                <w:szCs w:val="24"/>
                <w:highlight w:val="none"/>
              </w:rPr>
              <w:t>：利用VR一体机的特点，解密模块，展示了三种假想结构模型，并剖面展示了</w:t>
            </w:r>
            <w:r>
              <w:rPr>
                <w:rFonts w:hint="eastAsia" w:ascii="仿宋" w:hAnsi="仿宋" w:cs="宋体"/>
                <w:color w:val="000000"/>
                <w:kern w:val="0"/>
                <w:sz w:val="24"/>
                <w:szCs w:val="24"/>
                <w:highlight w:val="none"/>
                <w:lang w:val="en-US" w:eastAsia="zh-CN"/>
              </w:rPr>
              <w:t>其</w:t>
            </w:r>
            <w:r>
              <w:rPr>
                <w:rFonts w:hint="eastAsia" w:ascii="仿宋" w:hAnsi="仿宋" w:cs="宋体"/>
                <w:color w:val="000000"/>
                <w:kern w:val="0"/>
                <w:sz w:val="24"/>
                <w:szCs w:val="24"/>
                <w:highlight w:val="none"/>
              </w:rPr>
              <w:t>内部结构。</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仿宋" w:hAnsi="仿宋" w:cs="宋体"/>
                <w:color w:val="000000"/>
                <w:kern w:val="0"/>
                <w:sz w:val="24"/>
                <w:szCs w:val="24"/>
                <w:highlight w:val="none"/>
              </w:rPr>
            </w:pPr>
            <w:r>
              <w:rPr>
                <w:rFonts w:hint="eastAsia" w:ascii="仿宋" w:hAnsi="仿宋" w:cs="宋体"/>
                <w:color w:val="000000"/>
                <w:kern w:val="0"/>
                <w:sz w:val="24"/>
                <w:szCs w:val="24"/>
                <w:highlight w:val="none"/>
              </w:rPr>
              <w:t>（4）</w:t>
            </w:r>
            <w:r>
              <w:rPr>
                <w:rFonts w:hint="eastAsia" w:ascii="仿宋" w:hAnsi="仿宋" w:cs="宋体"/>
                <w:color w:val="000000"/>
                <w:kern w:val="0"/>
                <w:sz w:val="24"/>
                <w:szCs w:val="24"/>
                <w:highlight w:val="none"/>
                <w:lang w:val="en-US" w:eastAsia="zh-CN"/>
              </w:rPr>
              <w:t>传导模型</w:t>
            </w:r>
            <w:r>
              <w:rPr>
                <w:rFonts w:hint="eastAsia" w:ascii="仿宋" w:hAnsi="仿宋" w:cs="宋体"/>
                <w:color w:val="000000"/>
                <w:kern w:val="0"/>
                <w:sz w:val="24"/>
                <w:szCs w:val="24"/>
                <w:highlight w:val="none"/>
              </w:rPr>
              <w:t>：利用VR一体机的特点，独特</w:t>
            </w:r>
            <w:r>
              <w:rPr>
                <w:rFonts w:hint="eastAsia" w:ascii="仿宋" w:hAnsi="仿宋" w:cs="宋体"/>
                <w:color w:val="000000"/>
                <w:kern w:val="0"/>
                <w:sz w:val="24"/>
                <w:szCs w:val="24"/>
                <w:highlight w:val="none"/>
                <w:lang w:val="en-US" w:eastAsia="zh-CN"/>
              </w:rPr>
              <w:t>树突</w:t>
            </w:r>
            <w:r>
              <w:rPr>
                <w:rFonts w:hint="eastAsia" w:ascii="仿宋" w:hAnsi="仿宋" w:cs="宋体"/>
                <w:color w:val="000000"/>
                <w:kern w:val="0"/>
                <w:sz w:val="24"/>
                <w:szCs w:val="24"/>
                <w:highlight w:val="none"/>
              </w:rPr>
              <w:t>模块，展示了内部及外部结构，并使用动画及特效展示传导过程，</w:t>
            </w:r>
            <w:r>
              <w:rPr>
                <w:rFonts w:hint="eastAsia" w:ascii="仿宋" w:hAnsi="仿宋" w:cs="宋体"/>
                <w:color w:val="000000"/>
                <w:kern w:val="0"/>
                <w:sz w:val="24"/>
                <w:szCs w:val="24"/>
                <w:highlight w:val="none"/>
                <w:lang w:val="en-US" w:eastAsia="zh-CN"/>
              </w:rPr>
              <w:t>从</w:t>
            </w:r>
            <w:r>
              <w:rPr>
                <w:rFonts w:hint="eastAsia" w:ascii="仿宋" w:hAnsi="仿宋" w:cs="宋体"/>
                <w:color w:val="000000"/>
                <w:kern w:val="0"/>
                <w:sz w:val="24"/>
                <w:szCs w:val="24"/>
                <w:highlight w:val="none"/>
              </w:rPr>
              <w:t>树突传导到胞体，再传导到轴突的过程。</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仿宋" w:hAnsi="仿宋" w:cs="宋体"/>
                <w:color w:val="000000"/>
                <w:kern w:val="0"/>
                <w:sz w:val="24"/>
                <w:szCs w:val="24"/>
                <w:highlight w:val="none"/>
              </w:rPr>
            </w:pPr>
            <w:r>
              <w:rPr>
                <w:rFonts w:hint="eastAsia" w:ascii="仿宋" w:hAnsi="仿宋" w:cs="宋体"/>
                <w:color w:val="000000"/>
                <w:kern w:val="0"/>
                <w:sz w:val="24"/>
                <w:szCs w:val="24"/>
                <w:highlight w:val="none"/>
              </w:rPr>
              <w:t>（</w:t>
            </w:r>
            <w:r>
              <w:rPr>
                <w:rFonts w:ascii="仿宋" w:hAnsi="仿宋" w:cs="宋体"/>
                <w:color w:val="000000"/>
                <w:kern w:val="0"/>
                <w:sz w:val="24"/>
                <w:szCs w:val="24"/>
                <w:highlight w:val="none"/>
              </w:rPr>
              <w:t>5</w:t>
            </w:r>
            <w:r>
              <w:rPr>
                <w:rFonts w:hint="eastAsia" w:ascii="仿宋" w:hAnsi="仿宋" w:cs="宋体"/>
                <w:color w:val="000000"/>
                <w:kern w:val="0"/>
                <w:sz w:val="24"/>
                <w:szCs w:val="24"/>
                <w:highlight w:val="none"/>
              </w:rPr>
              <w:t>）</w:t>
            </w:r>
            <w:r>
              <w:rPr>
                <w:rFonts w:hint="eastAsia" w:ascii="仿宋" w:hAnsi="仿宋" w:cs="宋体"/>
                <w:color w:val="000000"/>
                <w:kern w:val="0"/>
                <w:sz w:val="24"/>
                <w:szCs w:val="24"/>
                <w:highlight w:val="none"/>
                <w:lang w:val="en-US" w:eastAsia="zh-CN"/>
              </w:rPr>
              <w:t>突触模型</w:t>
            </w:r>
            <w:r>
              <w:rPr>
                <w:rFonts w:hint="eastAsia" w:ascii="仿宋" w:hAnsi="仿宋" w:cs="宋体"/>
                <w:color w:val="000000"/>
                <w:kern w:val="0"/>
                <w:sz w:val="24"/>
                <w:szCs w:val="24"/>
                <w:highlight w:val="none"/>
              </w:rPr>
              <w:t>:利用VR一体机的特点，突触模块，展示两个突触的典型结构。</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要求提供现场演示（不接受录屏演示或者原型演示），以上5点全部满足得2分，满足任意4点得1分，满足任意3点得0.5分，满足少于3点或未提供演示的不得分。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仿宋" w:hAnsi="仿宋" w:cs="宋体"/>
                <w:color w:val="000000"/>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2.3 </w:t>
            </w:r>
            <w:r>
              <w:rPr>
                <w:rFonts w:hint="eastAsia" w:ascii="仿宋" w:hAnsi="仿宋" w:cs="宋体"/>
                <w:color w:val="000000"/>
                <w:kern w:val="0"/>
                <w:sz w:val="24"/>
                <w:szCs w:val="24"/>
                <w:highlight w:val="none"/>
              </w:rPr>
              <w:t>配套VR</w:t>
            </w:r>
            <w:r>
              <w:rPr>
                <w:rFonts w:hint="eastAsia" w:ascii="仿宋" w:hAnsi="仿宋" w:cs="宋体"/>
                <w:color w:val="000000"/>
                <w:kern w:val="0"/>
                <w:sz w:val="24"/>
                <w:szCs w:val="24"/>
                <w:highlight w:val="none"/>
                <w:lang w:val="en-US" w:eastAsia="zh-CN"/>
              </w:rPr>
              <w:t>功能验证操作类</w:t>
            </w:r>
            <w:r>
              <w:rPr>
                <w:rFonts w:hint="eastAsia" w:ascii="仿宋" w:hAnsi="仿宋" w:cs="宋体"/>
                <w:color w:val="000000"/>
                <w:kern w:val="0"/>
                <w:sz w:val="24"/>
                <w:szCs w:val="24"/>
                <w:highlight w:val="none"/>
              </w:rPr>
              <w:t>软件，以VR模型和交互操作为核心，</w:t>
            </w:r>
            <w:r>
              <w:rPr>
                <w:rFonts w:hint="eastAsia" w:ascii="仿宋" w:hAnsi="仿宋" w:cs="宋体"/>
                <w:color w:val="000000"/>
                <w:kern w:val="0"/>
                <w:sz w:val="24"/>
                <w:szCs w:val="24"/>
                <w:highlight w:val="none"/>
                <w:lang w:val="en-US" w:eastAsia="zh-CN"/>
              </w:rPr>
              <w:t>演示验证交互操作，</w:t>
            </w:r>
            <w:r>
              <w:rPr>
                <w:rFonts w:hint="eastAsia" w:ascii="仿宋" w:hAnsi="仿宋" w:cs="宋体"/>
                <w:color w:val="000000"/>
                <w:kern w:val="0"/>
                <w:sz w:val="24"/>
                <w:szCs w:val="24"/>
                <w:highlight w:val="none"/>
              </w:rPr>
              <w:t>并通过交互操作加深用户的直观体验。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rPr>
                <w:rFonts w:hint="eastAsia" w:ascii="仿宋" w:hAnsi="仿宋" w:cs="宋体"/>
                <w:color w:val="000000"/>
                <w:kern w:val="0"/>
                <w:sz w:val="24"/>
                <w:szCs w:val="24"/>
                <w:highlight w:val="none"/>
              </w:rPr>
            </w:pPr>
            <w:r>
              <w:rPr>
                <w:rFonts w:hint="eastAsia" w:ascii="仿宋" w:hAnsi="仿宋" w:cs="宋体" w:eastAsiaTheme="minorEastAsia"/>
                <w:color w:val="000000"/>
                <w:kern w:val="0"/>
                <w:sz w:val="24"/>
                <w:szCs w:val="24"/>
                <w:highlight w:val="none"/>
                <w:lang w:val="en-US" w:eastAsia="zh-CN" w:bidi="ar-SA"/>
              </w:rPr>
              <w:t>（1）</w:t>
            </w:r>
            <w:r>
              <w:rPr>
                <w:rFonts w:hint="eastAsia" w:ascii="仿宋" w:hAnsi="仿宋" w:cs="宋体"/>
                <w:color w:val="000000"/>
                <w:kern w:val="0"/>
                <w:sz w:val="24"/>
                <w:szCs w:val="24"/>
                <w:highlight w:val="none"/>
                <w:lang w:val="en-US" w:eastAsia="zh-CN"/>
              </w:rPr>
              <w:t>拆卸流程：</w:t>
            </w:r>
            <w:r>
              <w:rPr>
                <w:rFonts w:hint="eastAsia" w:ascii="仿宋" w:hAnsi="仿宋" w:cs="宋体"/>
                <w:color w:val="000000"/>
                <w:kern w:val="0"/>
                <w:sz w:val="24"/>
                <w:szCs w:val="24"/>
                <w:highlight w:val="none"/>
              </w:rPr>
              <w:t>以主流的总成进行建模，真实模拟标准拆卸流程；软件提供工具和具体操作的文字图形提示，相应模型操作部位高亮特效提示，真实还原拆卸体验。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rPr>
                <w:rFonts w:ascii="仿宋" w:hAnsi="仿宋" w:cs="宋体"/>
                <w:color w:val="000000"/>
                <w:kern w:val="0"/>
                <w:sz w:val="24"/>
                <w:szCs w:val="24"/>
                <w:highlight w:val="none"/>
              </w:rPr>
            </w:pPr>
            <w:r>
              <w:rPr>
                <w:rFonts w:hint="eastAsia" w:ascii="仿宋" w:hAnsi="仿宋" w:cs="宋体"/>
                <w:color w:val="000000"/>
                <w:kern w:val="0"/>
                <w:sz w:val="24"/>
                <w:szCs w:val="24"/>
                <w:highlight w:val="none"/>
              </w:rPr>
              <w:t>（2）</w:t>
            </w:r>
            <w:r>
              <w:rPr>
                <w:rFonts w:hint="eastAsia" w:ascii="仿宋" w:hAnsi="仿宋" w:cs="宋体"/>
                <w:color w:val="000000"/>
                <w:kern w:val="0"/>
                <w:sz w:val="24"/>
                <w:szCs w:val="24"/>
                <w:highlight w:val="none"/>
                <w:lang w:val="en-US" w:eastAsia="zh-CN"/>
              </w:rPr>
              <w:t>安装流程：</w:t>
            </w:r>
            <w:r>
              <w:rPr>
                <w:rFonts w:hint="eastAsia" w:ascii="仿宋" w:hAnsi="仿宋" w:cs="宋体"/>
                <w:color w:val="000000"/>
                <w:kern w:val="0"/>
                <w:sz w:val="24"/>
                <w:szCs w:val="24"/>
                <w:highlight w:val="none"/>
              </w:rPr>
              <w:t>需包含臂</w:t>
            </w:r>
            <w:r>
              <w:rPr>
                <w:rFonts w:hint="eastAsia" w:ascii="仿宋" w:hAnsi="仿宋" w:cs="宋体"/>
                <w:color w:val="000000"/>
                <w:kern w:val="0"/>
                <w:sz w:val="24"/>
                <w:szCs w:val="24"/>
                <w:highlight w:val="none"/>
                <w:lang w:val="en-US" w:eastAsia="zh-CN"/>
              </w:rPr>
              <w:t>结构</w:t>
            </w:r>
            <w:r>
              <w:rPr>
                <w:rFonts w:hint="eastAsia" w:ascii="仿宋" w:hAnsi="仿宋" w:cs="宋体"/>
                <w:color w:val="000000"/>
                <w:kern w:val="0"/>
                <w:sz w:val="24"/>
                <w:szCs w:val="24"/>
                <w:highlight w:val="none"/>
              </w:rPr>
              <w:t>安装、臂</w:t>
            </w:r>
            <w:r>
              <w:rPr>
                <w:rFonts w:hint="eastAsia" w:ascii="仿宋" w:hAnsi="仿宋" w:cs="宋体"/>
                <w:color w:val="000000"/>
                <w:kern w:val="0"/>
                <w:sz w:val="24"/>
                <w:szCs w:val="24"/>
                <w:highlight w:val="none"/>
                <w:lang w:val="en-US" w:eastAsia="zh-CN"/>
              </w:rPr>
              <w:t>结构</w:t>
            </w:r>
            <w:r>
              <w:rPr>
                <w:rFonts w:hint="eastAsia" w:ascii="仿宋" w:hAnsi="仿宋" w:cs="宋体"/>
                <w:color w:val="000000"/>
                <w:kern w:val="0"/>
                <w:sz w:val="24"/>
                <w:szCs w:val="24"/>
                <w:highlight w:val="none"/>
              </w:rPr>
              <w:t>仿真功能；臂安装需要按正确顺序安装各个臂零部件，完成臂安装后能进行仿真，臂仿真可以控制臂四个轴向运动，通过四轴控制臂</w:t>
            </w:r>
            <w:r>
              <w:rPr>
                <w:rFonts w:hint="eastAsia" w:ascii="仿宋" w:hAnsi="仿宋" w:cs="宋体"/>
                <w:color w:val="000000"/>
                <w:kern w:val="0"/>
                <w:sz w:val="24"/>
                <w:szCs w:val="24"/>
                <w:highlight w:val="none"/>
                <w:lang w:val="en-US" w:eastAsia="zh-CN"/>
              </w:rPr>
              <w:t>机构</w:t>
            </w:r>
            <w:r>
              <w:rPr>
                <w:rFonts w:hint="eastAsia" w:ascii="仿宋" w:hAnsi="仿宋" w:cs="宋体"/>
                <w:color w:val="000000"/>
                <w:kern w:val="0"/>
                <w:sz w:val="24"/>
                <w:szCs w:val="24"/>
                <w:highlight w:val="none"/>
              </w:rPr>
              <w:t>进行</w:t>
            </w:r>
            <w:r>
              <w:rPr>
                <w:rFonts w:hint="eastAsia" w:ascii="仿宋" w:hAnsi="仿宋" w:cs="宋体"/>
                <w:color w:val="000000"/>
                <w:kern w:val="0"/>
                <w:sz w:val="24"/>
                <w:szCs w:val="24"/>
                <w:highlight w:val="none"/>
                <w:lang w:val="en-US" w:eastAsia="zh-CN"/>
              </w:rPr>
              <w:t>工件</w:t>
            </w:r>
            <w:r>
              <w:rPr>
                <w:rFonts w:hint="eastAsia" w:ascii="仿宋" w:hAnsi="仿宋" w:cs="宋体"/>
                <w:color w:val="000000"/>
                <w:kern w:val="0"/>
                <w:sz w:val="24"/>
                <w:szCs w:val="24"/>
                <w:highlight w:val="none"/>
              </w:rPr>
              <w:t>搬运仿真。</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仿宋" w:hAnsi="仿宋" w:cs="宋体"/>
                <w:color w:val="000000"/>
                <w:kern w:val="0"/>
                <w:sz w:val="24"/>
                <w:szCs w:val="24"/>
                <w:highlight w:val="none"/>
              </w:rPr>
            </w:pPr>
            <w:r>
              <w:rPr>
                <w:rFonts w:hint="eastAsia" w:ascii="仿宋" w:hAnsi="仿宋" w:cs="宋体"/>
                <w:color w:val="000000"/>
                <w:kern w:val="0"/>
                <w:sz w:val="24"/>
                <w:szCs w:val="24"/>
                <w:highlight w:val="none"/>
              </w:rPr>
              <w:t>（3）</w:t>
            </w:r>
            <w:r>
              <w:rPr>
                <w:rFonts w:hint="eastAsia" w:ascii="仿宋" w:hAnsi="仿宋" w:cs="宋体"/>
                <w:color w:val="000000"/>
                <w:kern w:val="0"/>
                <w:sz w:val="24"/>
                <w:szCs w:val="24"/>
                <w:highlight w:val="none"/>
                <w:lang w:val="en-US" w:eastAsia="zh-CN"/>
              </w:rPr>
              <w:t>连接流程：仿真电路，</w:t>
            </w:r>
            <w:r>
              <w:rPr>
                <w:rFonts w:hint="eastAsia" w:ascii="仿宋" w:hAnsi="仿宋" w:cs="宋体"/>
                <w:color w:val="000000"/>
                <w:kern w:val="0"/>
                <w:sz w:val="24"/>
                <w:szCs w:val="24"/>
                <w:highlight w:val="none"/>
              </w:rPr>
              <w:t>真实的模拟在实物连接中的各种情况，比如选取1个元件、2个元件、3个或者4个元件连接时，给出各种连接情况下的结果。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cs="宋体"/>
                <w:color w:val="000000"/>
                <w:kern w:val="0"/>
                <w:sz w:val="24"/>
                <w:szCs w:val="24"/>
                <w:highlight w:val="none"/>
              </w:rPr>
            </w:pPr>
            <w:r>
              <w:rPr>
                <w:rFonts w:hint="eastAsia" w:ascii="仿宋" w:hAnsi="仿宋" w:cs="宋体"/>
                <w:color w:val="000000"/>
                <w:kern w:val="0"/>
                <w:sz w:val="24"/>
                <w:szCs w:val="24"/>
                <w:highlight w:val="none"/>
              </w:rPr>
              <w:t>（4）</w:t>
            </w:r>
            <w:r>
              <w:rPr>
                <w:rFonts w:hint="eastAsia" w:ascii="仿宋" w:hAnsi="仿宋" w:cs="宋体"/>
                <w:color w:val="000000"/>
                <w:kern w:val="0"/>
                <w:sz w:val="24"/>
                <w:szCs w:val="24"/>
                <w:highlight w:val="none"/>
                <w:lang w:val="en-US" w:eastAsia="zh-CN"/>
              </w:rPr>
              <w:t>爆炸展示流程：：机械机构</w:t>
            </w:r>
            <w:r>
              <w:rPr>
                <w:rFonts w:hint="eastAsia" w:ascii="仿宋" w:hAnsi="仿宋" w:cs="宋体"/>
                <w:color w:val="000000"/>
                <w:kern w:val="0"/>
                <w:sz w:val="24"/>
                <w:szCs w:val="24"/>
                <w:highlight w:val="none"/>
              </w:rPr>
              <w:t>，展现运行和爆炸状态，爆炸后可以随意抓取某个零件进行放大缩小和旋转，并提示零件名称。还原按钮可以让爆炸开的减速机回到初始状态，让用户看到</w:t>
            </w:r>
            <w:r>
              <w:rPr>
                <w:rFonts w:hint="eastAsia" w:ascii="仿宋" w:hAnsi="仿宋" w:cs="宋体"/>
                <w:color w:val="000000"/>
                <w:kern w:val="0"/>
                <w:sz w:val="24"/>
                <w:szCs w:val="24"/>
                <w:highlight w:val="none"/>
                <w:lang w:val="en-US" w:eastAsia="zh-CN"/>
              </w:rPr>
              <w:t>机器</w:t>
            </w:r>
            <w:r>
              <w:rPr>
                <w:rFonts w:hint="eastAsia" w:ascii="仿宋" w:hAnsi="仿宋" w:cs="宋体"/>
                <w:color w:val="000000"/>
                <w:kern w:val="0"/>
                <w:sz w:val="24"/>
                <w:szCs w:val="24"/>
                <w:highlight w:val="none"/>
              </w:rPr>
              <w:t>的内部结构和运行原理。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要求提供现场演示（不接受录屏演示或者原型演示），以上4点全部满足得2分，满足任意3点得1分，满足任意2点得0.5分，满足少于2点或未提供演示的不得分。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 虚拟仿真安全课程资源开发演示</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（1）软件三维仿真生产场景采用 WebGL三维图形引擎开发，投标时需演示内容组件功能创建三维可视化实训程序的搭建，需包含“位置”，“旋转”和“缩放”的基础信息，并展示以下“用户编辑”功能：着色器、脚本文件、动画、光源、材质、贴图、天空盒、网格等。</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在实验室巡查过程中，可以用手机端对实验室隐患情况进行拍照并上传，添加为隐患点，描述隐患状况，对隐患进行分级，并对隐患点进行分类（分类标准依据教育部颁发的《高校教学实验室安全工作检查要点（2022版）》进行），在手机端查看安全督导台账。管理端可导出督导台账、巡查报告和整改通知。</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（3）安全资源学习库：库内包含至少50个可在线播放动画，内容为安全知识的使用培训，要求flash风格统一，每个flash都带有同一个标志性人物进行引导。</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（4）AED使用、心脏复苏方法，紧急喷淋设备使用方法，正压式呼吸器使用方法等事故急救科普flash，视频流畅清晰，风格统一。</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（5）灭火器、消防栓、火灾分类等科普flash，视频流畅清晰，风格统一。</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（6）展示模拟发生火灾安全事故，展现各个组件包括烟感温感、手动火警按钮、声光报警、防排烟系统、应急照明等与主机之间的信号传递和联动状态。</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（7）VR形式展示灭火器的使用。</w:t>
            </w:r>
          </w:p>
          <w:p>
            <w:pPr>
              <w:pStyle w:val="3"/>
              <w:keepNext w:val="0"/>
              <w:keepLines w:val="0"/>
              <w:pageBreakBefore w:val="0"/>
              <w:kinsoku/>
              <w:wordWrap/>
              <w:overflowPunct/>
              <w:topLinePunct w:val="0"/>
              <w:autoSpaceDE/>
              <w:autoSpaceDN/>
              <w:bidi w:val="0"/>
              <w:adjustRightInd/>
              <w:snapToGrid/>
              <w:rPr>
                <w:rFonts w:hint="eastAsia" w:ascii="仿宋" w:hAnsi="仿宋" w:cs="宋体"/>
                <w:color w:val="000000"/>
                <w:kern w:val="0"/>
                <w:sz w:val="22"/>
                <w:highlight w:val="none"/>
              </w:rPr>
            </w:pPr>
            <w:r>
              <w:rPr>
                <w:rFonts w:hint="eastAsia" w:ascii="宋体" w:hAnsi="宋体" w:eastAsia="宋体" w:cs="宋体"/>
                <w:i w:val="0"/>
                <w:iCs w:val="0"/>
                <w:color w:val="auto"/>
                <w:kern w:val="0"/>
                <w:sz w:val="24"/>
                <w:szCs w:val="24"/>
                <w:highlight w:val="none"/>
                <w:u w:val="none"/>
                <w:lang w:val="en-US" w:eastAsia="zh-CN" w:bidi="ar"/>
              </w:rPr>
              <w:t>要求提供视频或录屏演示（不接受原型演示），以上7点全部满足得3分，满足任意6点得2分，满足任意5点得1分，满足少于5点或未提供演示的不得分。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 数字教材教学应用开发演示</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教材编辑器功能要求</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1.用户中心</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包含用户账号信息、用户收藏的教材和素材、用户创建的项目。</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2.素材库</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包含图书页面、模型、视频、音频、图片、文档、WORD、PDF等素材格式；同时包含按照专业大类划分的素材类型。</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3.模板库</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按照排版、颜色、专业、应用场景的不同而制作的不同风格的模板。用户在制作教材时可在模板库中选用一套模板进行套用，从而提高教材制作的效率。</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4.编辑器</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用户新建项目，导入Word、PDF或者图片格式的教材，然后从素材库中导入素材，将需要关联素材的教材页面进行识别，识别成功后进行内容和素材的关联操作，同时设置热点，以便教材在其他终端进行播放时通过点击查看素材。在完成素材绑定后，可进行章节管理和交互设计等操作，完成并最终提交图书。</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5.书城</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所有用户创建且成功发布的教材将会出现在“书城”中。书城中的教材按照专业、岗位进行分类，用户根据权限进行查阅。</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6.项目管理</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提交图书后进入待审核教材池，由审核员进行内容审查，审核通过后即可发布，用户可在“书城”及其他终端进行查看。</w:t>
            </w:r>
          </w:p>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要求提供现场演示（不接受录屏演示或者原型演示），以上6点全部满足得3分，部分满足或未提供演示的不得分。</w:t>
            </w:r>
          </w:p>
        </w:tc>
      </w:tr>
    </w:tbl>
    <w:p>
      <w:pPr>
        <w:widowControl/>
        <w:spacing w:before="100" w:beforeAutospacing="1" w:after="100" w:afterAutospacing="1"/>
        <w:ind w:firstLine="480"/>
        <w:jc w:val="left"/>
        <w:rPr>
          <w:rFonts w:hint="eastAsia" w:ascii="宋体" w:hAnsi="宋体" w:eastAsia="宋体" w:cs="宋体"/>
          <w:b/>
          <w:bCs/>
          <w:kern w:val="0"/>
          <w:sz w:val="24"/>
          <w:szCs w:val="24"/>
        </w:rPr>
      </w:pPr>
    </w:p>
    <w:p>
      <w:pPr>
        <w:widowControl/>
        <w:spacing w:before="100" w:beforeAutospacing="1" w:after="100" w:afterAutospacing="1"/>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③商务项（</w:t>
      </w:r>
      <w:r>
        <w:rPr>
          <w:rFonts w:ascii="Calibri" w:hAnsi="Calibri" w:eastAsia="宋体" w:cs="Calibri"/>
          <w:b/>
          <w:bCs/>
          <w:kern w:val="0"/>
          <w:sz w:val="24"/>
          <w:szCs w:val="24"/>
        </w:rPr>
        <w:t>F3</w:t>
      </w:r>
      <w:r>
        <w:rPr>
          <w:rFonts w:hint="eastAsia" w:ascii="宋体" w:hAnsi="宋体" w:eastAsia="宋体" w:cs="宋体"/>
          <w:b/>
          <w:bCs/>
          <w:kern w:val="0"/>
          <w:sz w:val="24"/>
          <w:szCs w:val="24"/>
        </w:rPr>
        <w:t>×</w:t>
      </w:r>
      <w:r>
        <w:rPr>
          <w:rFonts w:ascii="Calibri" w:hAnsi="Calibri" w:eastAsia="宋体" w:cs="Calibri"/>
          <w:b/>
          <w:bCs/>
          <w:kern w:val="0"/>
          <w:sz w:val="24"/>
          <w:szCs w:val="24"/>
        </w:rPr>
        <w:t>A3</w:t>
      </w:r>
      <w:r>
        <w:rPr>
          <w:rFonts w:hint="eastAsia" w:ascii="宋体" w:hAnsi="宋体" w:eastAsia="宋体" w:cs="宋体"/>
          <w:b/>
          <w:bCs/>
          <w:kern w:val="0"/>
          <w:sz w:val="24"/>
          <w:szCs w:val="24"/>
        </w:rPr>
        <w:t>）满分为</w:t>
      </w:r>
      <w:r>
        <w:rPr>
          <w:rFonts w:hint="eastAsia" w:ascii="宋体" w:hAnsi="宋体" w:eastAsia="宋体" w:cs="宋体"/>
          <w:b/>
          <w:bCs/>
          <w:kern w:val="0"/>
          <w:sz w:val="24"/>
          <w:szCs w:val="24"/>
          <w:u w:val="single"/>
        </w:rPr>
        <w:t>1</w:t>
      </w:r>
      <w:r>
        <w:rPr>
          <w:rFonts w:hint="eastAsia" w:ascii="宋体" w:hAnsi="宋体" w:eastAsia="宋体" w:cs="宋体"/>
          <w:b/>
          <w:bCs/>
          <w:kern w:val="0"/>
          <w:sz w:val="24"/>
          <w:szCs w:val="24"/>
          <w:u w:val="single"/>
          <w:lang w:val="en-US" w:eastAsia="zh-CN"/>
        </w:rPr>
        <w:t>0</w:t>
      </w:r>
      <w:r>
        <w:rPr>
          <w:rFonts w:hint="eastAsia" w:ascii="宋体" w:hAnsi="宋体" w:eastAsia="宋体" w:cs="宋体"/>
          <w:b/>
          <w:bCs/>
          <w:kern w:val="0"/>
          <w:sz w:val="24"/>
          <w:szCs w:val="24"/>
        </w:rPr>
        <w:t>分。</w:t>
      </w:r>
    </w:p>
    <w:tbl>
      <w:tblPr>
        <w:tblStyle w:val="11"/>
        <w:tblW w:w="83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5"/>
        <w:gridCol w:w="825"/>
        <w:gridCol w:w="6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评标分值</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0.5</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投标人（或其隶属公司）具有质量管理体系认证证书，提供有效期内的认证证书得0.5分，不提供不得分。（投标人须提供有效的证书复印件并加盖公章，否则不得分。）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0.5</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投标人（或其隶属公司）具有</w:t>
            </w:r>
            <w:r>
              <w:rPr>
                <w:b w:val="0"/>
                <w:bCs/>
                <w:highlight w:val="none"/>
              </w:rPr>
              <w:t>环境管理体系认证证书</w:t>
            </w:r>
            <w:r>
              <w:rPr>
                <w:rFonts w:hint="eastAsia" w:ascii="宋体" w:hAnsi="宋体" w:eastAsia="宋体" w:cs="宋体"/>
                <w:i w:val="0"/>
                <w:iCs w:val="0"/>
                <w:color w:val="auto"/>
                <w:sz w:val="24"/>
                <w:szCs w:val="24"/>
                <w:highlight w:val="none"/>
                <w:u w:val="none"/>
                <w:lang w:val="en-US" w:eastAsia="zh-CN"/>
              </w:rPr>
              <w:t>，提供有效期内的认证证书得0.5分，不提供不得分。（投标人须提供有效的证书复印件并加盖公章，否则不得分。）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0.5</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投标人（或其隶属公司）具有职业健康安全管理体系认证证书，提供有效期内的认证证书得0.5分，不提供不得分。（投标人须提供有效的证书复印件并加盖公章，否则不得分。）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.项目负责人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0.5</w:t>
            </w:r>
          </w:p>
        </w:tc>
        <w:tc>
          <w:tcPr>
            <w:tcW w:w="62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根据投标人拟投入本项目的项目负责人情况进行评分：项目负责人具备高级工程师职称的的得0.5分；注：须提供投标截止时间前6个月中任意1个月（不含投标截止当月）其公司为其缴纳的社保证明材料以及项目负责人职称证书复印件加盖公章。（不得与其他技术人员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3.其他技术人员</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1</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为保障技术服务响应，根据投标人拟投入本项目的技术成员实力情况进行评分：拟投入人员具备中级（及以上的）工程师职称人员数量在3人或3人以上的得1分。(满分3分) 注：上述人员须提供投标截止时间前6个月中任意1个月（不含投标截止当月）其公司为其缴纳的社保证明材料以及人员资质证书复印件加盖公章。同一人员多份证书不重复计分。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4.承诺函</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投标人承诺在项目一期验收前，全流程协助申报省级或国家级规划教材（包括数字教材和纸质教材），并承担申报工作产生的各项费用，提供承诺函并加盖公章得1分。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.实施方案</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根据投标人针对本项目的具体实施方案进行打分。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1.项目实施方案内容完善，合理性及针对性强，能够保证本项目顺利实施，得3分；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2.项目实施方案内容较完善，合理性及针对性较强，能够保证本项目顺利实施，得2分；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3.项目实施方案内容完善度较低，合理性及针对性较弱，得1分；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rPr>
              <w:t>4.未提供实施方案则本项不得分。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6.售后服务及培训方案</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根据投标人提供的售后服务</w:t>
            </w:r>
            <w:r>
              <w:rPr>
                <w:rFonts w:hint="eastAsia" w:ascii="宋体" w:hAnsi="宋体" w:eastAsia="宋体" w:cs="宋体"/>
                <w:i w:val="0"/>
                <w:iCs w:val="0"/>
                <w:color w:val="auto"/>
                <w:sz w:val="24"/>
                <w:szCs w:val="24"/>
                <w:highlight w:val="none"/>
                <w:u w:val="none"/>
                <w:lang w:val="en-US" w:eastAsia="zh-CN"/>
              </w:rPr>
              <w:t>及培训</w:t>
            </w:r>
            <w:r>
              <w:rPr>
                <w:rFonts w:hint="eastAsia" w:ascii="宋体" w:hAnsi="宋体" w:eastAsia="宋体" w:cs="宋体"/>
                <w:i w:val="0"/>
                <w:iCs w:val="0"/>
                <w:color w:val="auto"/>
                <w:sz w:val="24"/>
                <w:szCs w:val="24"/>
                <w:highlight w:val="none"/>
                <w:u w:val="none"/>
              </w:rPr>
              <w:t>方案进行评分，方案内容包括但不限于：</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（1）重点难点分析；</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（2）售后服务内容；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（3）故障解决方案；</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（4）响应时间；</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（5）专业技术人员保障及服务电话；</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（6）培训计划；</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（7）培训课程安排</w:t>
            </w:r>
            <w:r>
              <w:rPr>
                <w:rFonts w:hint="eastAsia" w:ascii="宋体" w:hAnsi="宋体" w:eastAsia="宋体" w:cs="宋体"/>
                <w:i w:val="0"/>
                <w:iCs w:val="0"/>
                <w:color w:val="auto"/>
                <w:sz w:val="24"/>
                <w:szCs w:val="24"/>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售后服务</w:t>
            </w:r>
            <w:r>
              <w:rPr>
                <w:rFonts w:hint="eastAsia" w:ascii="宋体" w:hAnsi="宋体" w:eastAsia="宋体" w:cs="宋体"/>
                <w:i w:val="0"/>
                <w:iCs w:val="0"/>
                <w:color w:val="auto"/>
                <w:sz w:val="24"/>
                <w:szCs w:val="24"/>
                <w:highlight w:val="none"/>
                <w:u w:val="none"/>
                <w:lang w:val="en-US" w:eastAsia="zh-CN"/>
              </w:rPr>
              <w:t>及</w:t>
            </w:r>
            <w:r>
              <w:rPr>
                <w:rFonts w:hint="eastAsia" w:ascii="宋体" w:hAnsi="宋体" w:eastAsia="宋体" w:cs="宋体"/>
                <w:i w:val="0"/>
                <w:iCs w:val="0"/>
                <w:color w:val="auto"/>
                <w:sz w:val="24"/>
                <w:szCs w:val="24"/>
                <w:highlight w:val="none"/>
                <w:u w:val="none"/>
              </w:rPr>
              <w:t>培训方案内容完善，合理性及针对性强，能够满足项目的采购需求的，得3分；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售后服务</w:t>
            </w:r>
            <w:r>
              <w:rPr>
                <w:rFonts w:hint="eastAsia" w:ascii="宋体" w:hAnsi="宋体" w:eastAsia="宋体" w:cs="宋体"/>
                <w:i w:val="0"/>
                <w:iCs w:val="0"/>
                <w:color w:val="auto"/>
                <w:sz w:val="24"/>
                <w:szCs w:val="24"/>
                <w:highlight w:val="none"/>
                <w:u w:val="none"/>
                <w:lang w:val="en-US" w:eastAsia="zh-CN"/>
              </w:rPr>
              <w:t>及</w:t>
            </w:r>
            <w:r>
              <w:rPr>
                <w:rFonts w:hint="eastAsia" w:ascii="宋体" w:hAnsi="宋体" w:eastAsia="宋体" w:cs="宋体"/>
                <w:i w:val="0"/>
                <w:iCs w:val="0"/>
                <w:color w:val="auto"/>
                <w:sz w:val="24"/>
                <w:szCs w:val="24"/>
                <w:highlight w:val="none"/>
                <w:u w:val="none"/>
              </w:rPr>
              <w:t>培训方案内容较完善，合理性及针对性较强，能够基本满足项目的采购需求的，得2分；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售后服务</w:t>
            </w:r>
            <w:r>
              <w:rPr>
                <w:rFonts w:hint="eastAsia" w:ascii="宋体" w:hAnsi="宋体" w:eastAsia="宋体" w:cs="宋体"/>
                <w:i w:val="0"/>
                <w:iCs w:val="0"/>
                <w:color w:val="auto"/>
                <w:sz w:val="24"/>
                <w:szCs w:val="24"/>
                <w:highlight w:val="none"/>
                <w:u w:val="none"/>
                <w:lang w:val="en-US" w:eastAsia="zh-CN"/>
              </w:rPr>
              <w:t>及</w:t>
            </w:r>
            <w:r>
              <w:rPr>
                <w:rFonts w:hint="eastAsia" w:ascii="宋体" w:hAnsi="宋体" w:eastAsia="宋体" w:cs="宋体"/>
                <w:i w:val="0"/>
                <w:iCs w:val="0"/>
                <w:color w:val="auto"/>
                <w:sz w:val="24"/>
                <w:szCs w:val="24"/>
                <w:highlight w:val="none"/>
                <w:u w:val="none"/>
              </w:rPr>
              <w:t>培训方案内容完善度较低，合理性及针对性较弱，得1分；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rPr>
              <w:t>未提供售后服务方案则本项不得分。</w:t>
            </w:r>
          </w:p>
        </w:tc>
      </w:tr>
    </w:tbl>
    <w:p>
      <w:pPr>
        <w:pStyle w:val="2"/>
        <w:ind w:left="0" w:leftChars="0" w:firstLine="0" w:firstLineChars="0"/>
        <w:rPr>
          <w:rFonts w:hint="eastAsia" w:ascii="黑体" w:hAnsi="黑体" w:eastAsia="黑体" w:cs="黑体"/>
          <w:sz w:val="21"/>
          <w:szCs w:val="21"/>
          <w:lang w:val="en-US" w:eastAsia="zh-CN"/>
        </w:rPr>
      </w:pPr>
    </w:p>
    <w:p>
      <w:pPr>
        <w:pStyle w:val="9"/>
        <w:keepNext w:val="0"/>
        <w:keepLines w:val="0"/>
        <w:widowControl/>
        <w:suppressLineNumbers w:val="0"/>
        <w:ind w:left="0" w:firstLine="480"/>
        <w:rPr>
          <w:highlight w:val="none"/>
        </w:rPr>
      </w:pPr>
      <w:r>
        <w:rPr>
          <w:rFonts w:hint="eastAsia" w:ascii="宋体" w:hAnsi="宋体" w:eastAsia="宋体" w:cs="宋体"/>
          <w:sz w:val="24"/>
          <w:szCs w:val="24"/>
          <w:highlight w:val="none"/>
        </w:rPr>
        <w:t>④加分项（</w:t>
      </w:r>
      <w:r>
        <w:rPr>
          <w:rFonts w:hint="default" w:ascii="Calibri" w:hAnsi="Calibri" w:eastAsia="宋体" w:cs="Calibri"/>
          <w:sz w:val="24"/>
          <w:szCs w:val="24"/>
          <w:highlight w:val="none"/>
        </w:rPr>
        <w:t>F4</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A4</w:t>
      </w:r>
      <w:r>
        <w:rPr>
          <w:rFonts w:hint="eastAsia" w:ascii="宋体" w:hAnsi="宋体" w:eastAsia="宋体" w:cs="宋体"/>
          <w:sz w:val="24"/>
          <w:szCs w:val="24"/>
          <w:highlight w:val="none"/>
        </w:rPr>
        <w:t>）</w:t>
      </w:r>
    </w:p>
    <w:p>
      <w:pPr>
        <w:pStyle w:val="9"/>
        <w:keepNext w:val="0"/>
        <w:keepLines w:val="0"/>
        <w:widowControl/>
        <w:suppressLineNumbers w:val="0"/>
        <w:ind w:left="0" w:firstLine="480"/>
        <w:rPr>
          <w:highlight w:val="none"/>
        </w:rPr>
      </w:pPr>
      <w:r>
        <w:rPr>
          <w:rFonts w:hint="eastAsia" w:ascii="宋体" w:hAnsi="宋体" w:eastAsia="宋体" w:cs="宋体"/>
          <w:sz w:val="24"/>
          <w:szCs w:val="24"/>
          <w:highlight w:val="none"/>
        </w:rPr>
        <w:t>a.优先类节能产品、环境标志产品：</w:t>
      </w:r>
    </w:p>
    <w:p>
      <w:pPr>
        <w:pStyle w:val="9"/>
        <w:keepNext w:val="0"/>
        <w:keepLines w:val="0"/>
        <w:widowControl/>
        <w:suppressLineNumbers w:val="0"/>
        <w:ind w:left="0" w:firstLine="480"/>
        <w:rPr>
          <w:highlight w:val="none"/>
        </w:rPr>
      </w:pPr>
      <w:r>
        <w:rPr>
          <w:rFonts w:hint="eastAsia" w:ascii="宋体" w:hAnsi="宋体" w:eastAsia="宋体" w:cs="宋体"/>
          <w:sz w:val="24"/>
          <w:szCs w:val="24"/>
          <w:highlight w:val="none"/>
        </w:rPr>
        <w:t>a1若同一合同包内节能、环境标志产品报价总金额低于该合同包报价总金额</w:t>
      </w:r>
      <w:r>
        <w:rPr>
          <w:rFonts w:hint="default" w:ascii="Calibri" w:hAnsi="Calibri" w:eastAsia="宋体" w:cs="Calibri"/>
          <w:sz w:val="24"/>
          <w:szCs w:val="24"/>
          <w:highlight w:val="none"/>
        </w:rPr>
        <w:t>20%</w:t>
      </w:r>
      <w:r>
        <w:rPr>
          <w:rFonts w:hint="eastAsia" w:ascii="宋体" w:hAnsi="宋体" w:eastAsia="宋体" w:cs="宋体"/>
          <w:sz w:val="24"/>
          <w:szCs w:val="24"/>
          <w:highlight w:val="none"/>
        </w:rPr>
        <w:t>（含</w:t>
      </w:r>
      <w:r>
        <w:rPr>
          <w:rFonts w:hint="default" w:ascii="Calibri" w:hAnsi="Calibri" w:eastAsia="宋体" w:cs="Calibri"/>
          <w:sz w:val="24"/>
          <w:szCs w:val="24"/>
          <w:highlight w:val="none"/>
        </w:rPr>
        <w:t>20%</w:t>
      </w:r>
      <w:r>
        <w:rPr>
          <w:rFonts w:hint="eastAsia" w:ascii="宋体" w:hAnsi="宋体" w:eastAsia="宋体" w:cs="宋体"/>
          <w:sz w:val="24"/>
          <w:szCs w:val="24"/>
          <w:highlight w:val="none"/>
        </w:rPr>
        <w:t>）以下，将分别给予节能、环境标志产品价格项（</w:t>
      </w:r>
      <w:r>
        <w:rPr>
          <w:rFonts w:hint="default" w:ascii="Calibri" w:hAnsi="Calibri" w:eastAsia="宋体" w:cs="Calibri"/>
          <w:sz w:val="24"/>
          <w:szCs w:val="24"/>
          <w:highlight w:val="none"/>
        </w:rPr>
        <w:t>F1</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A1</w:t>
      </w:r>
      <w:r>
        <w:rPr>
          <w:rFonts w:hint="eastAsia" w:ascii="宋体" w:hAnsi="宋体" w:eastAsia="宋体" w:cs="宋体"/>
          <w:sz w:val="24"/>
          <w:szCs w:val="24"/>
          <w:highlight w:val="none"/>
        </w:rPr>
        <w:t>，按照满分计）和技术项（</w:t>
      </w:r>
      <w:r>
        <w:rPr>
          <w:rFonts w:hint="default" w:ascii="Calibri" w:hAnsi="Calibri" w:eastAsia="宋体" w:cs="Calibri"/>
          <w:sz w:val="24"/>
          <w:szCs w:val="24"/>
          <w:highlight w:val="none"/>
        </w:rPr>
        <w:t>F2</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A2</w:t>
      </w:r>
      <w:r>
        <w:rPr>
          <w:rFonts w:hint="eastAsia" w:ascii="宋体" w:hAnsi="宋体" w:eastAsia="宋体" w:cs="宋体"/>
          <w:sz w:val="24"/>
          <w:szCs w:val="24"/>
          <w:highlight w:val="none"/>
        </w:rPr>
        <w:t>，按照满分计）</w:t>
      </w:r>
      <w:r>
        <w:rPr>
          <w:rFonts w:hint="default" w:ascii="Calibri" w:hAnsi="Calibri" w:eastAsia="宋体" w:cs="Calibri"/>
          <w:sz w:val="24"/>
          <w:szCs w:val="24"/>
          <w:highlight w:val="none"/>
        </w:rPr>
        <w:t>4%</w:t>
      </w:r>
      <w:r>
        <w:rPr>
          <w:rFonts w:hint="eastAsia" w:ascii="宋体" w:hAnsi="宋体" w:eastAsia="宋体" w:cs="宋体"/>
          <w:sz w:val="24"/>
          <w:szCs w:val="24"/>
          <w:highlight w:val="none"/>
        </w:rPr>
        <w:t>的加分；若同一合同包内节能、环境标志产品报价总金额占该合同包报价总金额</w:t>
      </w:r>
      <w:r>
        <w:rPr>
          <w:rFonts w:hint="default" w:ascii="Calibri" w:hAnsi="Calibri" w:eastAsia="宋体" w:cs="Calibri"/>
          <w:sz w:val="24"/>
          <w:szCs w:val="24"/>
          <w:highlight w:val="none"/>
        </w:rPr>
        <w:t>20%-50%</w:t>
      </w:r>
      <w:r>
        <w:rPr>
          <w:rFonts w:hint="eastAsia" w:ascii="宋体" w:hAnsi="宋体" w:eastAsia="宋体" w:cs="宋体"/>
          <w:sz w:val="24"/>
          <w:szCs w:val="24"/>
          <w:highlight w:val="none"/>
        </w:rPr>
        <w:t>（含</w:t>
      </w:r>
      <w:r>
        <w:rPr>
          <w:rFonts w:hint="default" w:ascii="Calibri" w:hAnsi="Calibri" w:eastAsia="宋体" w:cs="Calibri"/>
          <w:sz w:val="24"/>
          <w:szCs w:val="24"/>
          <w:highlight w:val="none"/>
        </w:rPr>
        <w:t>50%</w:t>
      </w:r>
      <w:r>
        <w:rPr>
          <w:rFonts w:hint="eastAsia" w:ascii="宋体" w:hAnsi="宋体" w:eastAsia="宋体" w:cs="宋体"/>
          <w:sz w:val="24"/>
          <w:szCs w:val="24"/>
          <w:highlight w:val="none"/>
        </w:rPr>
        <w:t>），将分别给予节能、环境标志产品价格项（</w:t>
      </w:r>
      <w:r>
        <w:rPr>
          <w:rFonts w:hint="default" w:ascii="Calibri" w:hAnsi="Calibri" w:eastAsia="宋体" w:cs="Calibri"/>
          <w:sz w:val="24"/>
          <w:szCs w:val="24"/>
          <w:highlight w:val="none"/>
        </w:rPr>
        <w:t>F1</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A1</w:t>
      </w:r>
      <w:r>
        <w:rPr>
          <w:rFonts w:hint="eastAsia" w:ascii="宋体" w:hAnsi="宋体" w:eastAsia="宋体" w:cs="宋体"/>
          <w:sz w:val="24"/>
          <w:szCs w:val="24"/>
          <w:highlight w:val="none"/>
        </w:rPr>
        <w:t>，按照满分计）和技术项（</w:t>
      </w:r>
      <w:r>
        <w:rPr>
          <w:rFonts w:hint="default" w:ascii="Calibri" w:hAnsi="Calibri" w:eastAsia="宋体" w:cs="Calibri"/>
          <w:sz w:val="24"/>
          <w:szCs w:val="24"/>
          <w:highlight w:val="none"/>
        </w:rPr>
        <w:t>F2</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A2</w:t>
      </w:r>
      <w:r>
        <w:rPr>
          <w:rFonts w:hint="eastAsia" w:ascii="宋体" w:hAnsi="宋体" w:eastAsia="宋体" w:cs="宋体"/>
          <w:sz w:val="24"/>
          <w:szCs w:val="24"/>
          <w:highlight w:val="none"/>
        </w:rPr>
        <w:t>，按照满分计）</w:t>
      </w:r>
      <w:r>
        <w:rPr>
          <w:rFonts w:hint="default" w:ascii="Calibri" w:hAnsi="Calibri" w:eastAsia="宋体" w:cs="Calibri"/>
          <w:sz w:val="24"/>
          <w:szCs w:val="24"/>
          <w:highlight w:val="none"/>
        </w:rPr>
        <w:t>6%</w:t>
      </w:r>
      <w:r>
        <w:rPr>
          <w:rFonts w:hint="eastAsia" w:ascii="宋体" w:hAnsi="宋体" w:eastAsia="宋体" w:cs="宋体"/>
          <w:sz w:val="24"/>
          <w:szCs w:val="24"/>
          <w:highlight w:val="none"/>
        </w:rPr>
        <w:t>的加分；若同一合同包内节能、环境标志产品报价总金额占该合同包报价总金额</w:t>
      </w:r>
      <w:r>
        <w:rPr>
          <w:rFonts w:hint="default" w:ascii="Calibri" w:hAnsi="Calibri" w:eastAsia="宋体" w:cs="Calibri"/>
          <w:sz w:val="24"/>
          <w:szCs w:val="24"/>
          <w:highlight w:val="none"/>
        </w:rPr>
        <w:t>50%</w:t>
      </w:r>
      <w:r>
        <w:rPr>
          <w:rFonts w:hint="eastAsia" w:ascii="宋体" w:hAnsi="宋体" w:eastAsia="宋体" w:cs="宋体"/>
          <w:sz w:val="24"/>
          <w:szCs w:val="24"/>
          <w:highlight w:val="none"/>
        </w:rPr>
        <w:t>以上的，将分别给予节能、环境标志产品价格项（</w:t>
      </w:r>
      <w:r>
        <w:rPr>
          <w:rFonts w:hint="default" w:ascii="Calibri" w:hAnsi="Calibri" w:eastAsia="宋体" w:cs="Calibri"/>
          <w:sz w:val="24"/>
          <w:szCs w:val="24"/>
          <w:highlight w:val="none"/>
        </w:rPr>
        <w:t>F1</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A1</w:t>
      </w:r>
      <w:r>
        <w:rPr>
          <w:rFonts w:hint="eastAsia" w:ascii="宋体" w:hAnsi="宋体" w:eastAsia="宋体" w:cs="宋体"/>
          <w:sz w:val="24"/>
          <w:szCs w:val="24"/>
          <w:highlight w:val="none"/>
        </w:rPr>
        <w:t>，按照满分计）和技术项（</w:t>
      </w:r>
      <w:r>
        <w:rPr>
          <w:rFonts w:hint="default" w:ascii="Calibri" w:hAnsi="Calibri" w:eastAsia="宋体" w:cs="Calibri"/>
          <w:sz w:val="24"/>
          <w:szCs w:val="24"/>
          <w:highlight w:val="none"/>
        </w:rPr>
        <w:t>F2</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A2</w:t>
      </w:r>
      <w:r>
        <w:rPr>
          <w:rFonts w:hint="eastAsia" w:ascii="宋体" w:hAnsi="宋体" w:eastAsia="宋体" w:cs="宋体"/>
          <w:sz w:val="24"/>
          <w:szCs w:val="24"/>
          <w:highlight w:val="none"/>
        </w:rPr>
        <w:t>，按照满分计）</w:t>
      </w:r>
      <w:r>
        <w:rPr>
          <w:rFonts w:hint="default" w:ascii="Calibri" w:hAnsi="Calibri" w:eastAsia="宋体" w:cs="Calibri"/>
          <w:sz w:val="24"/>
          <w:szCs w:val="24"/>
          <w:highlight w:val="none"/>
        </w:rPr>
        <w:t>8%</w:t>
      </w:r>
      <w:r>
        <w:rPr>
          <w:rFonts w:hint="eastAsia" w:ascii="宋体" w:hAnsi="宋体" w:eastAsia="宋体" w:cs="宋体"/>
          <w:sz w:val="24"/>
          <w:szCs w:val="24"/>
          <w:highlight w:val="none"/>
        </w:rPr>
        <w:t>的加分。</w:t>
      </w:r>
    </w:p>
    <w:p>
      <w:pPr>
        <w:pStyle w:val="9"/>
        <w:keepNext w:val="0"/>
        <w:keepLines w:val="0"/>
        <w:widowControl/>
        <w:suppressLineNumbers w:val="0"/>
        <w:ind w:left="0" w:firstLine="480"/>
        <w:rPr>
          <w:highlight w:val="none"/>
        </w:rPr>
      </w:pPr>
      <w:r>
        <w:rPr>
          <w:rFonts w:hint="eastAsia" w:ascii="宋体" w:hAnsi="宋体" w:eastAsia="宋体" w:cs="宋体"/>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2"/>
        <w:ind w:left="0" w:leftChars="0" w:firstLine="0" w:firstLineChars="0"/>
        <w:rPr>
          <w:rFonts w:hint="eastAsia" w:ascii="黑体" w:hAnsi="黑体" w:eastAsia="黑体" w:cs="黑体"/>
          <w:sz w:val="21"/>
          <w:szCs w:val="21"/>
          <w:lang w:val="en-US" w:eastAsia="zh-CN"/>
        </w:rPr>
      </w:pPr>
    </w:p>
    <w:p>
      <w:pPr>
        <w:pStyle w:val="2"/>
        <w:ind w:left="0" w:leftChars="0" w:firstLine="0" w:firstLineChars="0"/>
        <w:rPr>
          <w:rFonts w:hint="eastAsia" w:ascii="黑体" w:hAnsi="黑体" w:eastAsia="黑体" w:cs="黑体"/>
          <w:sz w:val="21"/>
          <w:szCs w:val="21"/>
          <w:lang w:val="en-US" w:eastAsia="zh-CN"/>
        </w:rPr>
      </w:pPr>
    </w:p>
    <w:p>
      <w:pPr>
        <w:pStyle w:val="2"/>
        <w:ind w:left="0" w:leftChars="0" w:firstLine="0" w:firstLineChars="0"/>
        <w:rPr>
          <w:rFonts w:hint="eastAsia" w:ascii="黑体" w:hAnsi="黑体" w:eastAsia="黑体" w:cs="黑体"/>
          <w:sz w:val="21"/>
          <w:szCs w:val="21"/>
          <w:lang w:val="en-US" w:eastAsia="zh-CN"/>
        </w:rPr>
      </w:pPr>
    </w:p>
    <w:p>
      <w:pPr>
        <w:pStyle w:val="2"/>
        <w:ind w:left="0" w:leftChars="0" w:firstLine="0" w:firstLineChars="0"/>
        <w:rPr>
          <w:rFonts w:hint="eastAsia" w:ascii="黑体" w:hAnsi="黑体" w:eastAsia="黑体" w:cs="黑体"/>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TUyYTdiZDBiYjg0MWMzNjNlZmRmN2U2MTQ2ZmMifQ=="/>
  </w:docVars>
  <w:rsids>
    <w:rsidRoot w:val="00000000"/>
    <w:rsid w:val="0757360C"/>
    <w:rsid w:val="089E5946"/>
    <w:rsid w:val="107A771D"/>
    <w:rsid w:val="124F443C"/>
    <w:rsid w:val="13E3257A"/>
    <w:rsid w:val="147078CD"/>
    <w:rsid w:val="1E1609EC"/>
    <w:rsid w:val="204606DC"/>
    <w:rsid w:val="213C57BB"/>
    <w:rsid w:val="24CB1437"/>
    <w:rsid w:val="27083FF7"/>
    <w:rsid w:val="28AE2025"/>
    <w:rsid w:val="2F2909BB"/>
    <w:rsid w:val="3AEB2519"/>
    <w:rsid w:val="42834C0D"/>
    <w:rsid w:val="4F3B7112"/>
    <w:rsid w:val="55822DDA"/>
    <w:rsid w:val="593F6B51"/>
    <w:rsid w:val="74571925"/>
    <w:rsid w:val="78FE3FE4"/>
    <w:rsid w:val="79C4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6">
    <w:name w:val="annotation text"/>
    <w:basedOn w:val="1"/>
    <w:uiPriority w:val="0"/>
    <w:pPr>
      <w:jc w:val="left"/>
    </w:pPr>
  </w:style>
  <w:style w:type="paragraph" w:styleId="7">
    <w:name w:val="Body Text Indent 2"/>
    <w:basedOn w:val="1"/>
    <w:qFormat/>
    <w:uiPriority w:val="0"/>
    <w:pPr>
      <w:ind w:firstLine="720"/>
    </w:pPr>
    <w:rPr>
      <w:lang w:val="en-US"/>
    </w:rPr>
  </w:style>
  <w:style w:type="paragraph" w:styleId="8">
    <w:name w:val="footer"/>
    <w:basedOn w:val="1"/>
    <w:qFormat/>
    <w:uiPriority w:val="99"/>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14">
    <w:name w:val="样式1"/>
    <w:basedOn w:val="1"/>
    <w:qFormat/>
    <w:uiPriority w:val="0"/>
    <w:pPr>
      <w:ind w:firstLine="883" w:firstLineChars="200"/>
    </w:pPr>
    <w:rPr>
      <w:rFonts w:ascii="Calibri" w:hAnsi="Calibri" w:eastAsia="宋体" w:cs="Times New Roman"/>
      <w:sz w:val="30"/>
    </w:rPr>
  </w:style>
  <w:style w:type="paragraph" w:styleId="15">
    <w:name w:val="List Paragraph"/>
    <w:basedOn w:val="1"/>
    <w:qFormat/>
    <w:uiPriority w:val="34"/>
    <w:pPr>
      <w:spacing w:line="360" w:lineRule="auto"/>
      <w:ind w:firstLine="420" w:firstLineChars="200"/>
    </w:pPr>
    <w:rPr>
      <w:rFonts w:ascii="Calibri" w:hAnsi="Calibri" w:eastAsia="仿宋"/>
      <w:sz w:val="3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15479</Words>
  <Characters>15839</Characters>
  <Lines>0</Lines>
  <Paragraphs>0</Paragraphs>
  <TotalTime>3</TotalTime>
  <ScaleCrop>false</ScaleCrop>
  <LinksUpToDate>false</LinksUpToDate>
  <CharactersWithSpaces>15947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2024-04-30T01:59:00Z</dcterms:created>
  <dc:creator>MZY</dc:creator>
  <cp:lastModifiedBy>君羊弓虽</cp:lastModifiedBy>
  <dcterms:modified xsi:type="dcterms:W3CDTF">2024-07-01T09:12:57Z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8A471B2DA6054A8791E074757F7D1A5F_13</vt:lpwstr>
  </property>
</Properties>
</file>