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DE75E">
      <w:pPr>
        <w:pStyle w:val="5"/>
        <w:spacing w:before="0" w:after="0" w:line="360" w:lineRule="auto"/>
        <w:jc w:val="left"/>
        <w:rPr>
          <w:rFonts w:hint="default" w:ascii="宋体" w:hAnsi="宋体" w:eastAsia="宋体"/>
          <w:sz w:val="36"/>
          <w:szCs w:val="36"/>
          <w:lang w:val="en-US" w:eastAsia="zh-CN"/>
        </w:rPr>
      </w:pPr>
      <w:r>
        <w:rPr>
          <w:rFonts w:hint="eastAsia"/>
          <w:sz w:val="36"/>
          <w:szCs w:val="36"/>
          <w:lang w:val="en-US" w:eastAsia="zh-CN"/>
        </w:rPr>
        <w:t>附件四</w:t>
      </w:r>
    </w:p>
    <w:p w14:paraId="18BD024A">
      <w:pPr>
        <w:pStyle w:val="5"/>
        <w:spacing w:before="0" w:after="0" w:line="360" w:lineRule="auto"/>
        <w:jc w:val="center"/>
        <w:rPr>
          <w:rFonts w:ascii="宋体" w:hAnsi="宋体"/>
          <w:sz w:val="36"/>
          <w:szCs w:val="36"/>
        </w:rPr>
      </w:pPr>
    </w:p>
    <w:p w14:paraId="64CFD3CE">
      <w:pPr>
        <w:jc w:val="center"/>
        <w:rPr>
          <w:rFonts w:hint="eastAsia" w:ascii="楷体" w:hAnsi="楷体" w:eastAsia="楷体" w:cs="楷体"/>
          <w:b/>
          <w:bCs/>
          <w:sz w:val="52"/>
          <w:szCs w:val="52"/>
        </w:rPr>
      </w:pPr>
      <w:r>
        <w:rPr>
          <w:rFonts w:hint="eastAsia" w:ascii="楷体" w:hAnsi="楷体" w:eastAsia="楷体" w:cs="楷体"/>
          <w:b/>
          <w:bCs/>
          <w:sz w:val="52"/>
          <w:szCs w:val="52"/>
        </w:rPr>
        <w:t>湄洲湾职业技术学院</w:t>
      </w:r>
    </w:p>
    <w:p w14:paraId="444A400B">
      <w:pPr>
        <w:jc w:val="center"/>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采购实施计划</w:t>
      </w:r>
    </w:p>
    <w:p w14:paraId="009C2C56"/>
    <w:p w14:paraId="3B4F8F14">
      <w:pPr>
        <w:ind w:firstLine="1044" w:firstLineChars="400"/>
        <w:rPr>
          <w:rFonts w:ascii="仿宋" w:hAnsi="仿宋" w:eastAsia="仿宋" w:cs="仿宋"/>
          <w:b/>
          <w:bCs/>
          <w:color w:val="000000"/>
          <w:kern w:val="0"/>
          <w:sz w:val="26"/>
          <w:szCs w:val="26"/>
          <w:shd w:val="clear" w:color="auto" w:fill="FFFFFF"/>
        </w:rPr>
      </w:pPr>
    </w:p>
    <w:p w14:paraId="02E000AC">
      <w:pPr>
        <w:ind w:firstLine="1044" w:firstLineChars="400"/>
        <w:rPr>
          <w:rFonts w:ascii="仿宋" w:hAnsi="仿宋" w:eastAsia="仿宋" w:cs="仿宋"/>
          <w:b/>
          <w:bCs/>
          <w:color w:val="000000"/>
          <w:kern w:val="0"/>
          <w:sz w:val="26"/>
          <w:szCs w:val="26"/>
          <w:shd w:val="clear" w:color="auto" w:fill="FFFFFF"/>
        </w:rPr>
      </w:pPr>
    </w:p>
    <w:tbl>
      <w:tblPr>
        <w:tblStyle w:val="10"/>
        <w:tblW w:w="0" w:type="auto"/>
        <w:jc w:val="center"/>
        <w:tblLayout w:type="fixed"/>
        <w:tblCellMar>
          <w:top w:w="0" w:type="dxa"/>
          <w:left w:w="108" w:type="dxa"/>
          <w:bottom w:w="0" w:type="dxa"/>
          <w:right w:w="108" w:type="dxa"/>
        </w:tblCellMar>
      </w:tblPr>
      <w:tblGrid>
        <w:gridCol w:w="2903"/>
        <w:gridCol w:w="4676"/>
      </w:tblGrid>
      <w:tr w14:paraId="7C7A8F63">
        <w:tblPrEx>
          <w:tblCellMar>
            <w:top w:w="0" w:type="dxa"/>
            <w:left w:w="108" w:type="dxa"/>
            <w:bottom w:w="0" w:type="dxa"/>
            <w:right w:w="108" w:type="dxa"/>
          </w:tblCellMar>
        </w:tblPrEx>
        <w:trPr>
          <w:trHeight w:val="680" w:hRule="atLeast"/>
          <w:jc w:val="center"/>
        </w:trPr>
        <w:tc>
          <w:tcPr>
            <w:tcW w:w="2903" w:type="dxa"/>
            <w:noWrap w:val="0"/>
            <w:vAlign w:val="bottom"/>
          </w:tcPr>
          <w:p w14:paraId="0056A101">
            <w:pPr>
              <w:ind w:firstLine="480"/>
              <w:jc w:val="distribute"/>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项目编号：</w:t>
            </w:r>
          </w:p>
        </w:tc>
        <w:tc>
          <w:tcPr>
            <w:tcW w:w="4676" w:type="dxa"/>
            <w:tcBorders>
              <w:bottom w:val="single" w:color="auto" w:sz="4" w:space="0"/>
            </w:tcBorders>
            <w:noWrap w:val="0"/>
            <w:vAlign w:val="bottom"/>
          </w:tcPr>
          <w:p w14:paraId="74447FBA">
            <w:pPr>
              <w:ind w:firstLine="480"/>
              <w:jc w:val="center"/>
              <w:rPr>
                <w:rFonts w:hint="eastAsia" w:ascii="仿宋" w:hAnsi="仿宋" w:eastAsia="仿宋" w:cs="仿宋"/>
                <w:b/>
                <w:sz w:val="24"/>
              </w:rPr>
            </w:pPr>
          </w:p>
        </w:tc>
      </w:tr>
      <w:tr w14:paraId="2301BF14">
        <w:tblPrEx>
          <w:tblCellMar>
            <w:top w:w="0" w:type="dxa"/>
            <w:left w:w="108" w:type="dxa"/>
            <w:bottom w:w="0" w:type="dxa"/>
            <w:right w:w="108" w:type="dxa"/>
          </w:tblCellMar>
        </w:tblPrEx>
        <w:trPr>
          <w:trHeight w:val="680" w:hRule="atLeast"/>
          <w:jc w:val="center"/>
        </w:trPr>
        <w:tc>
          <w:tcPr>
            <w:tcW w:w="2903" w:type="dxa"/>
            <w:noWrap w:val="0"/>
            <w:vAlign w:val="bottom"/>
          </w:tcPr>
          <w:p w14:paraId="0E03CE5D">
            <w:pPr>
              <w:ind w:firstLine="480"/>
              <w:jc w:val="distribute"/>
              <w:rPr>
                <w:rFonts w:hint="eastAsia" w:ascii="仿宋" w:hAnsi="仿宋" w:eastAsia="仿宋" w:cs="仿宋"/>
                <w:b/>
                <w:bCs/>
                <w:sz w:val="28"/>
                <w:szCs w:val="28"/>
                <w:lang w:val="en-US" w:eastAsia="zh-CN"/>
              </w:rPr>
            </w:pPr>
            <w:r>
              <w:rPr>
                <w:rFonts w:hint="eastAsia" w:ascii="仿宋" w:hAnsi="仿宋" w:eastAsia="仿宋" w:cs="仿宋"/>
                <w:b/>
                <w:bCs/>
                <w:sz w:val="28"/>
                <w:szCs w:val="28"/>
              </w:rPr>
              <w:t>项目名称：</w:t>
            </w:r>
          </w:p>
        </w:tc>
        <w:tc>
          <w:tcPr>
            <w:tcW w:w="4676" w:type="dxa"/>
            <w:tcBorders>
              <w:bottom w:val="single" w:color="auto" w:sz="4" w:space="0"/>
            </w:tcBorders>
            <w:noWrap w:val="0"/>
            <w:vAlign w:val="bottom"/>
          </w:tcPr>
          <w:p w14:paraId="5744EA3F">
            <w:pPr>
              <w:ind w:firstLine="480"/>
              <w:jc w:val="center"/>
              <w:rPr>
                <w:rFonts w:hint="eastAsia" w:ascii="仿宋" w:hAnsi="仿宋" w:eastAsia="仿宋" w:cs="仿宋"/>
                <w:b/>
                <w:sz w:val="24"/>
                <w:lang w:val="en-US" w:eastAsia="zh-CN"/>
              </w:rPr>
            </w:pPr>
            <w:r>
              <w:rPr>
                <w:rFonts w:hint="eastAsia" w:ascii="仿宋" w:hAnsi="仿宋" w:eastAsia="仿宋" w:cs="仿宋"/>
                <w:b/>
                <w:sz w:val="24"/>
              </w:rPr>
              <w:t>钻石分级智慧实训室建设</w:t>
            </w:r>
          </w:p>
        </w:tc>
      </w:tr>
      <w:tr w14:paraId="148712A3">
        <w:tblPrEx>
          <w:tblCellMar>
            <w:top w:w="0" w:type="dxa"/>
            <w:left w:w="108" w:type="dxa"/>
            <w:bottom w:w="0" w:type="dxa"/>
            <w:right w:w="108" w:type="dxa"/>
          </w:tblCellMar>
        </w:tblPrEx>
        <w:trPr>
          <w:trHeight w:val="680" w:hRule="atLeast"/>
          <w:jc w:val="center"/>
        </w:trPr>
        <w:tc>
          <w:tcPr>
            <w:tcW w:w="2903" w:type="dxa"/>
            <w:noWrap w:val="0"/>
            <w:vAlign w:val="bottom"/>
          </w:tcPr>
          <w:p w14:paraId="68DF06CD">
            <w:pPr>
              <w:ind w:firstLine="480"/>
              <w:jc w:val="distribute"/>
              <w:rPr>
                <w:rFonts w:hint="eastAsia" w:ascii="仿宋" w:hAnsi="仿宋" w:eastAsia="仿宋" w:cs="仿宋"/>
                <w:b/>
                <w:sz w:val="28"/>
                <w:szCs w:val="28"/>
              </w:rPr>
            </w:pPr>
            <w:r>
              <w:rPr>
                <w:rFonts w:hint="eastAsia" w:ascii="仿宋" w:hAnsi="仿宋" w:eastAsia="仿宋" w:cs="仿宋"/>
                <w:b/>
                <w:bCs/>
                <w:sz w:val="28"/>
                <w:szCs w:val="28"/>
              </w:rPr>
              <w:t>实训室名称：</w:t>
            </w:r>
          </w:p>
        </w:tc>
        <w:tc>
          <w:tcPr>
            <w:tcW w:w="4676" w:type="dxa"/>
            <w:tcBorders>
              <w:bottom w:val="single" w:color="auto" w:sz="4" w:space="0"/>
            </w:tcBorders>
            <w:noWrap w:val="0"/>
            <w:vAlign w:val="bottom"/>
          </w:tcPr>
          <w:p w14:paraId="48A11B80">
            <w:pPr>
              <w:ind w:firstLine="480"/>
              <w:jc w:val="center"/>
              <w:rPr>
                <w:rFonts w:hint="eastAsia" w:ascii="仿宋" w:hAnsi="仿宋" w:eastAsia="仿宋" w:cs="仿宋"/>
                <w:b/>
                <w:sz w:val="24"/>
                <w:lang w:val="en-US" w:eastAsia="zh-CN"/>
              </w:rPr>
            </w:pPr>
            <w:r>
              <w:rPr>
                <w:rFonts w:hint="eastAsia" w:ascii="仿宋" w:hAnsi="仿宋" w:eastAsia="仿宋" w:cs="仿宋"/>
                <w:b/>
                <w:sz w:val="24"/>
              </w:rPr>
              <w:t>钻石分级智慧实训室</w:t>
            </w:r>
          </w:p>
        </w:tc>
      </w:tr>
      <w:tr w14:paraId="3F14623F">
        <w:tblPrEx>
          <w:tblCellMar>
            <w:top w:w="0" w:type="dxa"/>
            <w:left w:w="108" w:type="dxa"/>
            <w:bottom w:w="0" w:type="dxa"/>
            <w:right w:w="108" w:type="dxa"/>
          </w:tblCellMar>
        </w:tblPrEx>
        <w:trPr>
          <w:trHeight w:val="680" w:hRule="atLeast"/>
          <w:jc w:val="center"/>
        </w:trPr>
        <w:tc>
          <w:tcPr>
            <w:tcW w:w="2903" w:type="dxa"/>
            <w:noWrap w:val="0"/>
            <w:vAlign w:val="bottom"/>
          </w:tcPr>
          <w:p w14:paraId="0CF072BF">
            <w:pPr>
              <w:ind w:firstLine="480"/>
              <w:jc w:val="distribute"/>
              <w:rPr>
                <w:rFonts w:hint="eastAsia" w:ascii="仿宋" w:hAnsi="仿宋" w:eastAsia="仿宋" w:cs="仿宋"/>
                <w:b/>
                <w:bCs/>
                <w:sz w:val="28"/>
                <w:szCs w:val="28"/>
              </w:rPr>
            </w:pPr>
            <w:r>
              <w:rPr>
                <w:rFonts w:hint="eastAsia" w:ascii="仿宋" w:hAnsi="仿宋" w:eastAsia="仿宋" w:cs="仿宋"/>
                <w:b/>
                <w:bCs/>
                <w:sz w:val="28"/>
                <w:szCs w:val="28"/>
                <w:lang w:val="en-US" w:eastAsia="zh-CN"/>
              </w:rPr>
              <w:t>申报单位</w:t>
            </w:r>
            <w:r>
              <w:rPr>
                <w:rFonts w:hint="eastAsia" w:ascii="仿宋" w:hAnsi="仿宋" w:eastAsia="仿宋" w:cs="仿宋"/>
                <w:b/>
                <w:bCs/>
                <w:sz w:val="28"/>
                <w:szCs w:val="28"/>
              </w:rPr>
              <w:t>：</w:t>
            </w:r>
          </w:p>
        </w:tc>
        <w:tc>
          <w:tcPr>
            <w:tcW w:w="4676" w:type="dxa"/>
            <w:tcBorders>
              <w:bottom w:val="single" w:color="auto" w:sz="4" w:space="0"/>
            </w:tcBorders>
            <w:noWrap w:val="0"/>
            <w:vAlign w:val="bottom"/>
          </w:tcPr>
          <w:p w14:paraId="1072DEB3">
            <w:pPr>
              <w:ind w:firstLine="4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工艺美术系</w:t>
            </w:r>
          </w:p>
        </w:tc>
      </w:tr>
      <w:tr w14:paraId="5DA4488D">
        <w:tblPrEx>
          <w:tblCellMar>
            <w:top w:w="0" w:type="dxa"/>
            <w:left w:w="108" w:type="dxa"/>
            <w:bottom w:w="0" w:type="dxa"/>
            <w:right w:w="108" w:type="dxa"/>
          </w:tblCellMar>
        </w:tblPrEx>
        <w:trPr>
          <w:trHeight w:val="680" w:hRule="atLeast"/>
          <w:jc w:val="center"/>
        </w:trPr>
        <w:tc>
          <w:tcPr>
            <w:tcW w:w="2903" w:type="dxa"/>
            <w:noWrap w:val="0"/>
            <w:vAlign w:val="bottom"/>
          </w:tcPr>
          <w:p w14:paraId="526BE457">
            <w:pPr>
              <w:ind w:firstLine="480"/>
              <w:jc w:val="distribute"/>
              <w:rPr>
                <w:rFonts w:hint="eastAsia" w:ascii="仿宋" w:hAnsi="仿宋" w:eastAsia="仿宋" w:cs="仿宋"/>
                <w:b/>
                <w:sz w:val="28"/>
                <w:szCs w:val="28"/>
              </w:rPr>
            </w:pPr>
            <w:r>
              <w:rPr>
                <w:rFonts w:hint="eastAsia" w:ascii="仿宋" w:hAnsi="仿宋" w:eastAsia="仿宋" w:cs="仿宋"/>
                <w:b/>
                <w:bCs/>
                <w:sz w:val="28"/>
                <w:szCs w:val="28"/>
                <w:lang w:val="en-US" w:eastAsia="zh-CN"/>
              </w:rPr>
              <w:t>预算金额（万元）</w:t>
            </w:r>
            <w:r>
              <w:rPr>
                <w:rFonts w:hint="eastAsia" w:ascii="仿宋" w:hAnsi="仿宋" w:eastAsia="仿宋" w:cs="仿宋"/>
                <w:b/>
                <w:bCs/>
                <w:sz w:val="28"/>
                <w:szCs w:val="28"/>
              </w:rPr>
              <w:t>：</w:t>
            </w:r>
          </w:p>
        </w:tc>
        <w:tc>
          <w:tcPr>
            <w:tcW w:w="4676" w:type="dxa"/>
            <w:tcBorders>
              <w:top w:val="single" w:color="auto" w:sz="4" w:space="0"/>
              <w:bottom w:val="single" w:color="auto" w:sz="4" w:space="0"/>
            </w:tcBorders>
            <w:noWrap w:val="0"/>
            <w:vAlign w:val="bottom"/>
          </w:tcPr>
          <w:p w14:paraId="1BDDFA89">
            <w:pPr>
              <w:ind w:firstLine="4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92.5</w:t>
            </w:r>
          </w:p>
        </w:tc>
      </w:tr>
      <w:tr w14:paraId="4DF74C64">
        <w:tblPrEx>
          <w:tblCellMar>
            <w:top w:w="0" w:type="dxa"/>
            <w:left w:w="108" w:type="dxa"/>
            <w:bottom w:w="0" w:type="dxa"/>
            <w:right w:w="108" w:type="dxa"/>
          </w:tblCellMar>
        </w:tblPrEx>
        <w:trPr>
          <w:trHeight w:val="680" w:hRule="atLeast"/>
          <w:jc w:val="center"/>
        </w:trPr>
        <w:tc>
          <w:tcPr>
            <w:tcW w:w="2903" w:type="dxa"/>
            <w:noWrap w:val="0"/>
            <w:vAlign w:val="bottom"/>
          </w:tcPr>
          <w:p w14:paraId="3360708E">
            <w:pPr>
              <w:ind w:firstLine="480" w:firstLineChars="0"/>
              <w:jc w:val="distribute"/>
              <w:rPr>
                <w:rFonts w:hint="eastAsia" w:ascii="仿宋" w:hAnsi="仿宋" w:eastAsia="仿宋" w:cs="仿宋"/>
                <w:b/>
                <w:sz w:val="28"/>
                <w:szCs w:val="28"/>
              </w:rPr>
            </w:pPr>
            <w:r>
              <w:rPr>
                <w:rFonts w:hint="eastAsia" w:ascii="仿宋" w:hAnsi="仿宋" w:eastAsia="仿宋" w:cs="仿宋"/>
                <w:b/>
                <w:bCs/>
                <w:sz w:val="28"/>
                <w:szCs w:val="28"/>
              </w:rPr>
              <w:t>项目负责人：</w:t>
            </w:r>
          </w:p>
        </w:tc>
        <w:tc>
          <w:tcPr>
            <w:tcW w:w="4676" w:type="dxa"/>
            <w:tcBorders>
              <w:top w:val="single" w:color="auto" w:sz="4" w:space="0"/>
              <w:bottom w:val="single" w:color="auto" w:sz="4" w:space="0"/>
            </w:tcBorders>
            <w:noWrap w:val="0"/>
            <w:vAlign w:val="bottom"/>
          </w:tcPr>
          <w:p w14:paraId="1B63E38D">
            <w:pPr>
              <w:ind w:firstLine="480"/>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刘娜</w:t>
            </w:r>
          </w:p>
        </w:tc>
      </w:tr>
      <w:tr w14:paraId="5184DF88">
        <w:tblPrEx>
          <w:tblCellMar>
            <w:top w:w="0" w:type="dxa"/>
            <w:left w:w="108" w:type="dxa"/>
            <w:bottom w:w="0" w:type="dxa"/>
            <w:right w:w="108" w:type="dxa"/>
          </w:tblCellMar>
        </w:tblPrEx>
        <w:trPr>
          <w:trHeight w:val="680" w:hRule="atLeast"/>
          <w:jc w:val="center"/>
        </w:trPr>
        <w:tc>
          <w:tcPr>
            <w:tcW w:w="2903" w:type="dxa"/>
            <w:noWrap w:val="0"/>
            <w:vAlign w:val="bottom"/>
          </w:tcPr>
          <w:p w14:paraId="06034C52">
            <w:pPr>
              <w:ind w:firstLine="480" w:firstLineChars="0"/>
              <w:jc w:val="distribute"/>
              <w:rPr>
                <w:rFonts w:hint="eastAsia" w:ascii="仿宋" w:hAnsi="仿宋" w:eastAsia="仿宋" w:cs="仿宋"/>
                <w:b/>
                <w:sz w:val="28"/>
                <w:szCs w:val="28"/>
              </w:rPr>
            </w:pPr>
            <w:r>
              <w:rPr>
                <w:rFonts w:hint="eastAsia" w:ascii="仿宋" w:hAnsi="仿宋" w:eastAsia="仿宋" w:cs="仿宋"/>
                <w:b/>
                <w:bCs/>
                <w:sz w:val="28"/>
                <w:szCs w:val="28"/>
              </w:rPr>
              <w:t>联系电话：</w:t>
            </w:r>
          </w:p>
        </w:tc>
        <w:tc>
          <w:tcPr>
            <w:tcW w:w="4676" w:type="dxa"/>
            <w:tcBorders>
              <w:top w:val="single" w:color="auto" w:sz="4" w:space="0"/>
              <w:bottom w:val="single" w:color="auto" w:sz="4" w:space="0"/>
            </w:tcBorders>
            <w:noWrap w:val="0"/>
            <w:vAlign w:val="bottom"/>
          </w:tcPr>
          <w:p w14:paraId="0B8B4555">
            <w:pPr>
              <w:ind w:firstLine="4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15880313556</w:t>
            </w:r>
          </w:p>
        </w:tc>
      </w:tr>
      <w:tr w14:paraId="582A7EB6">
        <w:tblPrEx>
          <w:tblCellMar>
            <w:top w:w="0" w:type="dxa"/>
            <w:left w:w="108" w:type="dxa"/>
            <w:bottom w:w="0" w:type="dxa"/>
            <w:right w:w="108" w:type="dxa"/>
          </w:tblCellMar>
        </w:tblPrEx>
        <w:trPr>
          <w:trHeight w:val="680" w:hRule="atLeast"/>
          <w:jc w:val="center"/>
        </w:trPr>
        <w:tc>
          <w:tcPr>
            <w:tcW w:w="2903" w:type="dxa"/>
            <w:noWrap w:val="0"/>
            <w:vAlign w:val="bottom"/>
          </w:tcPr>
          <w:p w14:paraId="0B00AC7E">
            <w:pPr>
              <w:ind w:firstLine="480"/>
              <w:jc w:val="distribut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填报日期：</w:t>
            </w:r>
          </w:p>
        </w:tc>
        <w:tc>
          <w:tcPr>
            <w:tcW w:w="4676" w:type="dxa"/>
            <w:tcBorders>
              <w:top w:val="single" w:color="auto" w:sz="4" w:space="0"/>
              <w:bottom w:val="single" w:color="auto" w:sz="4" w:space="0"/>
            </w:tcBorders>
            <w:noWrap w:val="0"/>
            <w:vAlign w:val="bottom"/>
          </w:tcPr>
          <w:p w14:paraId="3C4E1297">
            <w:pPr>
              <w:ind w:firstLine="48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2024年4月26日</w:t>
            </w:r>
          </w:p>
        </w:tc>
      </w:tr>
    </w:tbl>
    <w:p w14:paraId="541F7623">
      <w:pPr>
        <w:rPr>
          <w:rFonts w:ascii="宋体" w:hAnsi="宋体"/>
          <w:color w:val="FF0000"/>
          <w:sz w:val="28"/>
          <w:szCs w:val="28"/>
        </w:rPr>
      </w:pPr>
    </w:p>
    <w:p w14:paraId="397ACDD8">
      <w:pPr>
        <w:rPr>
          <w:rFonts w:ascii="宋体" w:hAnsi="宋体"/>
          <w:color w:val="FF0000"/>
          <w:sz w:val="28"/>
          <w:szCs w:val="28"/>
        </w:rPr>
      </w:pPr>
    </w:p>
    <w:p w14:paraId="0DBD45FC">
      <w:pPr>
        <w:rPr>
          <w:rFonts w:ascii="宋体" w:hAnsi="宋体"/>
          <w:color w:val="FF0000"/>
          <w:sz w:val="28"/>
          <w:szCs w:val="28"/>
        </w:rPr>
      </w:pPr>
    </w:p>
    <w:p w14:paraId="678E3195">
      <w:pPr>
        <w:rPr>
          <w:rFonts w:ascii="宋体" w:hAnsi="宋体"/>
          <w:color w:val="FF0000"/>
          <w:sz w:val="28"/>
          <w:szCs w:val="28"/>
        </w:rPr>
      </w:pPr>
    </w:p>
    <w:p w14:paraId="30C3B8B1">
      <w:pPr>
        <w:pStyle w:val="9"/>
        <w:rPr>
          <w:rFonts w:ascii="宋体" w:hAnsi="宋体"/>
          <w:color w:val="FF0000"/>
          <w:sz w:val="28"/>
          <w:szCs w:val="28"/>
        </w:rPr>
      </w:pPr>
    </w:p>
    <w:p w14:paraId="68E58FB6">
      <w:pPr>
        <w:pStyle w:val="9"/>
        <w:rPr>
          <w:rFonts w:ascii="宋体" w:hAnsi="宋体"/>
          <w:color w:val="FF0000"/>
          <w:sz w:val="28"/>
          <w:szCs w:val="28"/>
        </w:rPr>
      </w:pPr>
    </w:p>
    <w:p w14:paraId="669B549D">
      <w:pPr>
        <w:jc w:val="center"/>
        <w:rPr>
          <w:rFonts w:ascii="宋体" w:hAnsi="宋体" w:cs="仿宋"/>
          <w:b/>
          <w:color w:val="000000"/>
          <w:kern w:val="0"/>
          <w:sz w:val="30"/>
          <w:szCs w:val="30"/>
          <w:shd w:val="clear" w:color="auto" w:fill="FFFFFF"/>
        </w:rPr>
      </w:pPr>
      <w:r>
        <w:rPr>
          <w:rFonts w:hint="eastAsia" w:ascii="宋体" w:hAnsi="宋体" w:cs="仿宋"/>
          <w:b/>
          <w:color w:val="000000"/>
          <w:kern w:val="0"/>
          <w:sz w:val="30"/>
          <w:szCs w:val="30"/>
          <w:shd w:val="clear" w:color="auto" w:fill="FFFFFF"/>
        </w:rPr>
        <w:t>编制说明</w:t>
      </w:r>
    </w:p>
    <w:p w14:paraId="484F13C0">
      <w:pPr>
        <w:widowControl/>
        <w:spacing w:line="560" w:lineRule="atLeast"/>
        <w:ind w:firstLine="640"/>
        <w:jc w:val="left"/>
        <w:rPr>
          <w:rFonts w:ascii="宋体" w:hAnsi="宋体" w:cs="仿宋"/>
          <w:color w:val="000000"/>
          <w:kern w:val="0"/>
          <w:sz w:val="28"/>
          <w:szCs w:val="28"/>
          <w:shd w:val="clear" w:color="auto" w:fill="FFFFFF"/>
        </w:rPr>
      </w:pPr>
    </w:p>
    <w:p w14:paraId="6AA860BD">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lang w:val="en-US" w:eastAsia="zh-CN"/>
        </w:rPr>
        <w:t>申购单位负责根据</w:t>
      </w:r>
      <w:r>
        <w:rPr>
          <w:rFonts w:hint="eastAsia" w:ascii="宋体" w:hAnsi="宋体" w:cs="仿宋"/>
          <w:color w:val="000000"/>
          <w:kern w:val="0"/>
          <w:sz w:val="28"/>
          <w:szCs w:val="28"/>
          <w:shd w:val="clear" w:color="auto" w:fill="FFFFFF"/>
        </w:rPr>
        <w:t>采购需求书编制采购实施计划。</w:t>
      </w:r>
    </w:p>
    <w:p w14:paraId="03616062">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lang w:val="en-US" w:eastAsia="zh-CN"/>
        </w:rPr>
        <w:t>后勤管理处负责指导申购单位填写“合同订立安排”部分内容。</w:t>
      </w:r>
    </w:p>
    <w:p w14:paraId="417E4A89">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lang w:val="en-US" w:eastAsia="zh-CN"/>
        </w:rPr>
        <w:t>公共实训管理中心负责指导申购单位填写“</w:t>
      </w:r>
      <w:r>
        <w:rPr>
          <w:rFonts w:hint="eastAsia" w:ascii="黑体" w:hAnsi="黑体" w:eastAsia="黑体"/>
          <w:sz w:val="24"/>
          <w:szCs w:val="24"/>
        </w:rPr>
        <w:t>合同</w:t>
      </w:r>
      <w:r>
        <w:rPr>
          <w:rFonts w:hint="eastAsia" w:ascii="黑体" w:hAnsi="黑体" w:eastAsia="黑体"/>
          <w:sz w:val="24"/>
          <w:szCs w:val="24"/>
          <w:lang w:val="en-US" w:eastAsia="zh-CN"/>
        </w:rPr>
        <w:t>管理</w:t>
      </w:r>
      <w:r>
        <w:rPr>
          <w:rFonts w:hint="eastAsia" w:ascii="黑体" w:hAnsi="黑体" w:eastAsia="黑体"/>
          <w:sz w:val="24"/>
          <w:szCs w:val="24"/>
        </w:rPr>
        <w:t>安排</w:t>
      </w:r>
      <w:r>
        <w:rPr>
          <w:rFonts w:hint="eastAsia" w:ascii="宋体" w:hAnsi="宋体" w:cs="仿宋"/>
          <w:color w:val="000000"/>
          <w:kern w:val="0"/>
          <w:sz w:val="28"/>
          <w:szCs w:val="28"/>
          <w:shd w:val="clear" w:color="auto" w:fill="FFFFFF"/>
          <w:lang w:val="en-US" w:eastAsia="zh-CN"/>
        </w:rPr>
        <w:t>”部分内容。</w:t>
      </w:r>
    </w:p>
    <w:p w14:paraId="0CD1ED32">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lang w:val="en-US" w:eastAsia="zh-CN"/>
        </w:rPr>
        <w:t>四</w:t>
      </w:r>
      <w:r>
        <w:rPr>
          <w:rFonts w:hint="eastAsia" w:ascii="宋体" w:hAnsi="宋体" w:cs="仿宋"/>
          <w:color w:val="000000"/>
          <w:kern w:val="0"/>
          <w:sz w:val="28"/>
          <w:szCs w:val="28"/>
          <w:shd w:val="clear" w:color="auto" w:fill="FFFFFF"/>
        </w:rPr>
        <w:t>、编制的采购实施计划应当符合《财政部关于印发政府采购需求管理办法的通知》（财库〔2021〕22号）要求及政府采购的相关规定。</w:t>
      </w:r>
    </w:p>
    <w:p w14:paraId="43BA55E6">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lang w:val="en-US" w:eastAsia="zh-CN"/>
        </w:rPr>
        <w:t>五</w:t>
      </w:r>
      <w:r>
        <w:rPr>
          <w:rFonts w:hint="eastAsia" w:ascii="宋体" w:hAnsi="宋体" w:cs="仿宋"/>
          <w:color w:val="000000"/>
          <w:kern w:val="0"/>
          <w:sz w:val="28"/>
          <w:szCs w:val="28"/>
          <w:shd w:val="clear" w:color="auto" w:fill="FFFFFF"/>
        </w:rPr>
        <w:t>、斜体字部分属于提醒内容，编制时应删除。</w:t>
      </w:r>
    </w:p>
    <w:p w14:paraId="5618E300">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lang w:val="en-US" w:eastAsia="zh-CN"/>
        </w:rPr>
        <w:t>六</w:t>
      </w:r>
      <w:r>
        <w:rPr>
          <w:rFonts w:hint="eastAsia" w:ascii="宋体" w:hAnsi="宋体" w:cs="仿宋"/>
          <w:color w:val="000000"/>
          <w:kern w:val="0"/>
          <w:sz w:val="28"/>
          <w:szCs w:val="28"/>
          <w:shd w:val="clear" w:color="auto" w:fill="FFFFFF"/>
        </w:rPr>
        <w:t>、对不适用的内容应删除，并调整相应序号。</w:t>
      </w:r>
    </w:p>
    <w:p w14:paraId="47F44538">
      <w:pPr>
        <w:rPr>
          <w:sz w:val="28"/>
          <w:szCs w:val="28"/>
        </w:rPr>
      </w:pPr>
    </w:p>
    <w:p w14:paraId="793D5D3E">
      <w:pPr>
        <w:spacing w:line="360" w:lineRule="auto"/>
      </w:pPr>
    </w:p>
    <w:p w14:paraId="30CDE918">
      <w:pPr>
        <w:widowControl/>
        <w:shd w:val="clear" w:color="auto" w:fill="FFFFFF"/>
        <w:spacing w:line="360" w:lineRule="auto"/>
        <w:ind w:firstLine="562" w:firstLineChars="200"/>
        <w:jc w:val="left"/>
        <w:rPr>
          <w:rFonts w:ascii="宋体" w:hAnsi="宋体" w:cs="Arial"/>
          <w:b/>
          <w:color w:val="333333"/>
          <w:kern w:val="0"/>
          <w:sz w:val="28"/>
          <w:szCs w:val="28"/>
        </w:rPr>
      </w:pPr>
    </w:p>
    <w:p w14:paraId="1BBB1697">
      <w:pPr>
        <w:widowControl/>
        <w:shd w:val="clear" w:color="auto" w:fill="FFFFFF"/>
        <w:spacing w:line="360" w:lineRule="auto"/>
        <w:ind w:firstLine="562" w:firstLineChars="200"/>
        <w:jc w:val="left"/>
        <w:rPr>
          <w:rFonts w:ascii="宋体" w:hAnsi="宋体" w:cs="Arial"/>
          <w:b/>
          <w:color w:val="333333"/>
          <w:kern w:val="0"/>
          <w:sz w:val="28"/>
          <w:szCs w:val="28"/>
        </w:rPr>
      </w:pPr>
    </w:p>
    <w:p w14:paraId="200BCCC0">
      <w:pPr>
        <w:widowControl/>
        <w:shd w:val="clear" w:color="auto" w:fill="FFFFFF"/>
        <w:spacing w:line="360" w:lineRule="auto"/>
        <w:ind w:firstLine="562" w:firstLineChars="200"/>
        <w:jc w:val="left"/>
        <w:rPr>
          <w:rFonts w:ascii="宋体" w:hAnsi="宋体" w:cs="Arial"/>
          <w:b/>
          <w:color w:val="333333"/>
          <w:kern w:val="0"/>
          <w:sz w:val="28"/>
          <w:szCs w:val="28"/>
        </w:rPr>
      </w:pPr>
    </w:p>
    <w:p w14:paraId="4426581D">
      <w:pPr>
        <w:widowControl/>
        <w:shd w:val="clear" w:color="auto" w:fill="FFFFFF"/>
        <w:spacing w:line="360" w:lineRule="auto"/>
        <w:ind w:firstLine="562" w:firstLineChars="200"/>
        <w:jc w:val="left"/>
        <w:rPr>
          <w:rFonts w:ascii="宋体" w:hAnsi="宋体" w:cs="Arial"/>
          <w:b/>
          <w:color w:val="333333"/>
          <w:kern w:val="0"/>
          <w:sz w:val="28"/>
          <w:szCs w:val="28"/>
        </w:rPr>
      </w:pPr>
    </w:p>
    <w:p w14:paraId="35753A74">
      <w:pPr>
        <w:widowControl/>
        <w:shd w:val="clear" w:color="auto" w:fill="FFFFFF"/>
        <w:spacing w:line="360" w:lineRule="auto"/>
        <w:ind w:firstLine="562" w:firstLineChars="200"/>
        <w:jc w:val="left"/>
        <w:rPr>
          <w:rFonts w:ascii="宋体" w:hAnsi="宋体" w:cs="Arial"/>
          <w:b/>
          <w:color w:val="333333"/>
          <w:kern w:val="0"/>
          <w:sz w:val="28"/>
          <w:szCs w:val="28"/>
        </w:rPr>
      </w:pPr>
    </w:p>
    <w:p w14:paraId="2DBCE8DA">
      <w:pPr>
        <w:widowControl/>
        <w:shd w:val="clear" w:color="auto" w:fill="FFFFFF"/>
        <w:spacing w:line="360" w:lineRule="auto"/>
        <w:ind w:firstLine="562" w:firstLineChars="200"/>
        <w:jc w:val="left"/>
        <w:rPr>
          <w:rFonts w:ascii="宋体" w:hAnsi="宋体" w:cs="Arial"/>
          <w:b/>
          <w:color w:val="333333"/>
          <w:kern w:val="0"/>
          <w:sz w:val="28"/>
          <w:szCs w:val="28"/>
        </w:rPr>
      </w:pPr>
    </w:p>
    <w:p w14:paraId="29AAE0D8">
      <w:pPr>
        <w:widowControl/>
        <w:shd w:val="clear" w:color="auto" w:fill="FFFFFF"/>
        <w:spacing w:line="360" w:lineRule="auto"/>
        <w:ind w:firstLine="562" w:firstLineChars="200"/>
        <w:jc w:val="left"/>
        <w:rPr>
          <w:rFonts w:ascii="宋体" w:hAnsi="宋体" w:cs="Arial"/>
          <w:b/>
          <w:color w:val="333333"/>
          <w:kern w:val="0"/>
          <w:sz w:val="28"/>
          <w:szCs w:val="28"/>
        </w:rPr>
      </w:pPr>
    </w:p>
    <w:p w14:paraId="6C9203A3">
      <w:pPr>
        <w:widowControl/>
        <w:shd w:val="clear" w:color="auto" w:fill="FFFFFF"/>
        <w:spacing w:line="360" w:lineRule="auto"/>
        <w:ind w:firstLine="562" w:firstLineChars="200"/>
        <w:jc w:val="left"/>
        <w:rPr>
          <w:rFonts w:ascii="宋体" w:hAnsi="宋体" w:cs="Arial"/>
          <w:b/>
          <w:color w:val="333333"/>
          <w:kern w:val="0"/>
          <w:sz w:val="28"/>
          <w:szCs w:val="28"/>
        </w:rPr>
      </w:pPr>
    </w:p>
    <w:p w14:paraId="45AF66A0">
      <w:pPr>
        <w:pStyle w:val="4"/>
        <w:spacing w:line="360" w:lineRule="auto"/>
        <w:ind w:firstLine="472" w:firstLineChars="196"/>
        <w:rPr>
          <w:rFonts w:ascii="黑体" w:hAnsi="黑体" w:eastAsia="黑体"/>
          <w:sz w:val="24"/>
          <w:szCs w:val="24"/>
        </w:rPr>
      </w:pPr>
      <w:r>
        <w:rPr>
          <w:rFonts w:hint="eastAsia" w:ascii="黑体" w:hAnsi="黑体" w:eastAsia="黑体"/>
          <w:sz w:val="24"/>
          <w:szCs w:val="24"/>
        </w:rPr>
        <w:t>一、合同订立安排</w:t>
      </w:r>
    </w:p>
    <w:p w14:paraId="67D634DF">
      <w:pPr>
        <w:pStyle w:val="14"/>
        <w:spacing w:line="360" w:lineRule="auto"/>
        <w:ind w:firstLine="482"/>
        <w:rPr>
          <w:rFonts w:ascii="宋体" w:hAnsi="宋体"/>
          <w:b/>
          <w:bCs/>
          <w:sz w:val="24"/>
          <w:szCs w:val="24"/>
        </w:rPr>
      </w:pPr>
      <w:bookmarkStart w:id="0" w:name="_Toc13411"/>
      <w:r>
        <w:rPr>
          <w:rFonts w:hint="eastAsia" w:ascii="宋体" w:hAnsi="宋体"/>
          <w:b/>
          <w:bCs/>
          <w:sz w:val="24"/>
          <w:szCs w:val="24"/>
        </w:rPr>
        <w:t>（一）项目采购预算</w:t>
      </w:r>
      <w:bookmarkEnd w:id="0"/>
    </w:p>
    <w:p w14:paraId="7FC93302">
      <w:pPr>
        <w:widowControl/>
        <w:spacing w:line="360" w:lineRule="auto"/>
        <w:ind w:firstLine="600"/>
        <w:jc w:val="left"/>
        <w:rPr>
          <w:rFonts w:hint="default" w:ascii="宋体" w:hAnsi="宋体" w:eastAsia="宋体" w:cs="仿宋"/>
          <w:sz w:val="24"/>
          <w:szCs w:val="24"/>
          <w:lang w:val="en-US" w:eastAsia="zh-CN"/>
        </w:rPr>
      </w:pPr>
      <w:r>
        <w:rPr>
          <w:rFonts w:hint="eastAsia" w:ascii="宋体" w:hAnsi="宋体" w:cs="仿宋"/>
          <w:sz w:val="24"/>
          <w:szCs w:val="24"/>
        </w:rPr>
        <w:t>1.项目采购预算：（</w:t>
      </w:r>
      <w:r>
        <w:rPr>
          <w:rFonts w:hint="eastAsia" w:ascii="宋体" w:hAnsi="宋体" w:cs="仿宋"/>
          <w:sz w:val="24"/>
          <w:szCs w:val="24"/>
          <w:lang w:val="en-US" w:eastAsia="zh-CN"/>
        </w:rPr>
        <w:t>¥</w:t>
      </w:r>
      <w:r>
        <w:rPr>
          <w:rFonts w:hint="eastAsia" w:ascii="宋体" w:hAnsi="宋体" w:cs="仿宋"/>
          <w:sz w:val="24"/>
          <w:szCs w:val="24"/>
        </w:rPr>
        <w:t>）</w:t>
      </w:r>
      <w:r>
        <w:rPr>
          <w:rFonts w:hint="eastAsia" w:ascii="宋体" w:hAnsi="宋体" w:cs="仿宋"/>
          <w:sz w:val="24"/>
          <w:szCs w:val="24"/>
          <w:u w:val="single"/>
          <w:lang w:val="en-US" w:eastAsia="zh-CN"/>
        </w:rPr>
        <w:t>玖</w:t>
      </w:r>
      <w:r>
        <w:rPr>
          <w:rFonts w:hint="eastAsia" w:ascii="宋体" w:hAnsi="宋体" w:cs="仿宋"/>
          <w:sz w:val="24"/>
          <w:szCs w:val="24"/>
          <w:u w:val="single"/>
        </w:rPr>
        <w:t>拾</w:t>
      </w:r>
      <w:r>
        <w:rPr>
          <w:rFonts w:hint="eastAsia" w:ascii="宋体" w:hAnsi="宋体" w:cs="仿宋"/>
          <w:sz w:val="24"/>
          <w:szCs w:val="24"/>
          <w:u w:val="single"/>
          <w:lang w:val="en-US" w:eastAsia="zh-CN"/>
        </w:rPr>
        <w:t>贰</w:t>
      </w:r>
      <w:r>
        <w:rPr>
          <w:rFonts w:hint="eastAsia" w:ascii="宋体" w:hAnsi="宋体" w:cs="仿宋"/>
          <w:sz w:val="24"/>
          <w:szCs w:val="24"/>
          <w:u w:val="single"/>
        </w:rPr>
        <w:t>万</w:t>
      </w:r>
      <w:r>
        <w:rPr>
          <w:rFonts w:hint="eastAsia" w:ascii="宋体" w:hAnsi="宋体" w:cs="仿宋"/>
          <w:sz w:val="24"/>
          <w:szCs w:val="24"/>
          <w:u w:val="single"/>
          <w:lang w:val="en-US" w:eastAsia="zh-CN"/>
        </w:rPr>
        <w:t>伍仟</w:t>
      </w:r>
      <w:r>
        <w:rPr>
          <w:rFonts w:hint="eastAsia" w:ascii="宋体" w:hAnsi="宋体" w:cs="仿宋"/>
          <w:sz w:val="24"/>
          <w:szCs w:val="24"/>
          <w:u w:val="single"/>
        </w:rPr>
        <w:t>元整</w:t>
      </w:r>
      <w:r>
        <w:rPr>
          <w:rFonts w:hint="eastAsia" w:ascii="宋体" w:hAnsi="宋体" w:cs="仿宋"/>
          <w:sz w:val="24"/>
          <w:szCs w:val="24"/>
        </w:rPr>
        <w:t>，</w:t>
      </w:r>
      <w:r>
        <w:rPr>
          <w:rFonts w:hint="eastAsia" w:ascii="宋体" w:hAnsi="宋体" w:cs="仿宋"/>
          <w:sz w:val="24"/>
          <w:szCs w:val="24"/>
          <w:u w:val="single"/>
          <w:lang w:val="en-US" w:eastAsia="zh-CN"/>
        </w:rPr>
        <w:t>925000元</w:t>
      </w:r>
    </w:p>
    <w:p w14:paraId="6A2FB71F">
      <w:pPr>
        <w:widowControl/>
        <w:spacing w:line="360" w:lineRule="auto"/>
        <w:ind w:firstLine="600"/>
        <w:jc w:val="left"/>
        <w:rPr>
          <w:rFonts w:ascii="宋体" w:hAnsi="宋体" w:cs="仿宋"/>
          <w:sz w:val="24"/>
          <w:szCs w:val="24"/>
          <w:u w:val="single"/>
        </w:rPr>
      </w:pPr>
      <w:r>
        <w:rPr>
          <w:rFonts w:hint="eastAsia" w:ascii="宋体" w:hAnsi="宋体" w:cs="仿宋"/>
          <w:sz w:val="24"/>
          <w:szCs w:val="24"/>
        </w:rPr>
        <w:t>2.项目最高限价：（</w:t>
      </w:r>
      <w:r>
        <w:rPr>
          <w:rFonts w:hint="eastAsia" w:ascii="宋体" w:hAnsi="宋体" w:cs="仿宋"/>
          <w:sz w:val="24"/>
          <w:szCs w:val="24"/>
          <w:lang w:val="en-US" w:eastAsia="zh-CN"/>
        </w:rPr>
        <w:t>¥</w:t>
      </w:r>
      <w:r>
        <w:rPr>
          <w:rFonts w:hint="eastAsia" w:ascii="宋体" w:hAnsi="宋体" w:cs="仿宋"/>
          <w:sz w:val="24"/>
          <w:szCs w:val="24"/>
        </w:rPr>
        <w:t>）</w:t>
      </w:r>
      <w:r>
        <w:rPr>
          <w:rFonts w:hint="eastAsia" w:ascii="宋体" w:hAnsi="宋体" w:cs="仿宋"/>
          <w:sz w:val="24"/>
          <w:szCs w:val="24"/>
          <w:u w:val="single"/>
          <w:lang w:val="en-US" w:eastAsia="zh-CN"/>
        </w:rPr>
        <w:t>玖</w:t>
      </w:r>
      <w:r>
        <w:rPr>
          <w:rFonts w:hint="eastAsia" w:ascii="宋体" w:hAnsi="宋体" w:cs="仿宋"/>
          <w:sz w:val="24"/>
          <w:szCs w:val="24"/>
          <w:u w:val="single"/>
        </w:rPr>
        <w:t>拾</w:t>
      </w:r>
      <w:r>
        <w:rPr>
          <w:rFonts w:hint="eastAsia" w:ascii="宋体" w:hAnsi="宋体" w:cs="仿宋"/>
          <w:sz w:val="24"/>
          <w:szCs w:val="24"/>
          <w:u w:val="single"/>
          <w:lang w:val="en-US" w:eastAsia="zh-CN"/>
        </w:rPr>
        <w:t>贰</w:t>
      </w:r>
      <w:r>
        <w:rPr>
          <w:rFonts w:hint="eastAsia" w:ascii="宋体" w:hAnsi="宋体" w:cs="仿宋"/>
          <w:sz w:val="24"/>
          <w:szCs w:val="24"/>
          <w:u w:val="single"/>
        </w:rPr>
        <w:t>万</w:t>
      </w:r>
      <w:r>
        <w:rPr>
          <w:rFonts w:hint="eastAsia" w:ascii="宋体" w:hAnsi="宋体" w:cs="仿宋"/>
          <w:sz w:val="24"/>
          <w:szCs w:val="24"/>
          <w:u w:val="single"/>
          <w:lang w:val="en-US" w:eastAsia="zh-CN"/>
        </w:rPr>
        <w:t>伍仟</w:t>
      </w:r>
      <w:r>
        <w:rPr>
          <w:rFonts w:hint="eastAsia" w:ascii="宋体" w:hAnsi="宋体" w:cs="仿宋"/>
          <w:sz w:val="24"/>
          <w:szCs w:val="24"/>
          <w:u w:val="single"/>
        </w:rPr>
        <w:t>元整</w:t>
      </w:r>
      <w:r>
        <w:rPr>
          <w:rFonts w:hint="eastAsia" w:ascii="宋体" w:hAnsi="宋体" w:cs="仿宋"/>
          <w:sz w:val="24"/>
          <w:szCs w:val="24"/>
        </w:rPr>
        <w:t>，</w:t>
      </w:r>
      <w:r>
        <w:rPr>
          <w:rFonts w:hint="eastAsia" w:ascii="宋体" w:hAnsi="宋体" w:cs="仿宋"/>
          <w:sz w:val="24"/>
          <w:szCs w:val="24"/>
          <w:u w:val="single"/>
          <w:lang w:val="en-US" w:eastAsia="zh-CN"/>
        </w:rPr>
        <w:t>925000元</w:t>
      </w:r>
    </w:p>
    <w:p w14:paraId="5CEA8C56">
      <w:pPr>
        <w:pStyle w:val="14"/>
        <w:spacing w:afterLines="50" w:line="360" w:lineRule="auto"/>
        <w:ind w:firstLine="482"/>
        <w:rPr>
          <w:sz w:val="24"/>
          <w:szCs w:val="24"/>
        </w:rPr>
      </w:pPr>
      <w:bookmarkStart w:id="1" w:name="_Toc23746"/>
      <w:r>
        <w:rPr>
          <w:rFonts w:hint="eastAsia" w:ascii="宋体" w:hAnsi="宋体"/>
          <w:b/>
          <w:bCs/>
          <w:sz w:val="24"/>
          <w:szCs w:val="24"/>
        </w:rPr>
        <w:t>（二）开展采购活动的时间安排</w:t>
      </w:r>
      <w:bookmarkEnd w:id="1"/>
    </w:p>
    <w:tbl>
      <w:tblPr>
        <w:tblStyle w:val="11"/>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3827"/>
        <w:gridCol w:w="3262"/>
      </w:tblGrid>
      <w:tr w14:paraId="0ECD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1FA8A910">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序号</w:t>
            </w:r>
          </w:p>
        </w:tc>
        <w:tc>
          <w:tcPr>
            <w:tcW w:w="2337" w:type="pct"/>
            <w:noWrap/>
            <w:vAlign w:val="top"/>
          </w:tcPr>
          <w:p w14:paraId="5A591313">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事项</w:t>
            </w:r>
          </w:p>
        </w:tc>
        <w:tc>
          <w:tcPr>
            <w:tcW w:w="1991" w:type="pct"/>
            <w:noWrap/>
            <w:vAlign w:val="top"/>
          </w:tcPr>
          <w:p w14:paraId="2D55FF42">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时间安排</w:t>
            </w:r>
          </w:p>
        </w:tc>
      </w:tr>
      <w:tr w14:paraId="1AA7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7EDA4FF0">
            <w:pPr>
              <w:pStyle w:val="15"/>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6803471C">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政府采购意向公开</w:t>
            </w:r>
          </w:p>
        </w:tc>
        <w:tc>
          <w:tcPr>
            <w:tcW w:w="1991" w:type="pct"/>
            <w:noWrap/>
            <w:vAlign w:val="top"/>
          </w:tcPr>
          <w:p w14:paraId="45BF314F">
            <w:pPr>
              <w:tabs>
                <w:tab w:val="left" w:pos="864"/>
              </w:tabs>
              <w:spacing w:line="360" w:lineRule="auto"/>
              <w:jc w:val="center"/>
              <w:rPr>
                <w:rFonts w:hint="eastAsia" w:ascii="宋体" w:hAnsi="宋体" w:eastAsia="宋体"/>
                <w:b w:val="0"/>
                <w:bCs w:val="0"/>
                <w:color w:val="auto"/>
                <w:kern w:val="0"/>
                <w:sz w:val="24"/>
                <w:szCs w:val="24"/>
                <w:lang w:val="en-US" w:eastAsia="zh-CN"/>
              </w:rPr>
            </w:pPr>
            <w:r>
              <w:rPr>
                <w:rFonts w:hint="eastAsia" w:ascii="宋体" w:hAnsi="宋体"/>
                <w:b w:val="0"/>
                <w:bCs w:val="0"/>
                <w:color w:val="auto"/>
                <w:kern w:val="0"/>
                <w:sz w:val="24"/>
                <w:szCs w:val="24"/>
                <w:lang w:val="en-US" w:eastAsia="zh-CN"/>
              </w:rPr>
              <w:t>-</w:t>
            </w:r>
          </w:p>
        </w:tc>
      </w:tr>
      <w:tr w14:paraId="0819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1D791FAA">
            <w:pPr>
              <w:pStyle w:val="15"/>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057C14CC">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政府采购计划申报</w:t>
            </w:r>
          </w:p>
        </w:tc>
        <w:tc>
          <w:tcPr>
            <w:tcW w:w="1991" w:type="pct"/>
            <w:noWrap/>
            <w:vAlign w:val="top"/>
          </w:tcPr>
          <w:p w14:paraId="73DD9618">
            <w:pPr>
              <w:tabs>
                <w:tab w:val="left" w:pos="864"/>
              </w:tabs>
              <w:spacing w:line="360" w:lineRule="auto"/>
              <w:jc w:val="center"/>
              <w:rPr>
                <w:rFonts w:hint="default" w:ascii="宋体" w:hAnsi="宋体" w:eastAsia="宋体"/>
                <w:b w:val="0"/>
                <w:bCs w:val="0"/>
                <w:color w:val="auto"/>
                <w:kern w:val="0"/>
                <w:sz w:val="24"/>
                <w:szCs w:val="24"/>
                <w:lang w:val="en-US" w:eastAsia="zh-CN"/>
              </w:rPr>
            </w:pPr>
            <w:r>
              <w:rPr>
                <w:rFonts w:hint="eastAsia" w:ascii="宋体" w:hAnsi="宋体"/>
                <w:b w:val="0"/>
                <w:bCs w:val="0"/>
                <w:color w:val="auto"/>
                <w:kern w:val="0"/>
                <w:sz w:val="24"/>
                <w:szCs w:val="24"/>
                <w:lang w:val="en-US" w:eastAsia="zh-CN"/>
              </w:rPr>
              <w:t>2024年4月</w:t>
            </w:r>
          </w:p>
        </w:tc>
      </w:tr>
      <w:tr w14:paraId="3706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3CF486D6">
            <w:pPr>
              <w:pStyle w:val="15"/>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1CD64C6E">
            <w:pPr>
              <w:tabs>
                <w:tab w:val="left" w:pos="864"/>
              </w:tabs>
              <w:spacing w:line="360" w:lineRule="auto"/>
              <w:jc w:val="center"/>
              <w:rPr>
                <w:rFonts w:ascii="宋体" w:hAnsi="宋体"/>
                <w:kern w:val="0"/>
                <w:sz w:val="24"/>
                <w:szCs w:val="24"/>
              </w:rPr>
            </w:pPr>
            <w:r>
              <w:rPr>
                <w:rFonts w:hint="eastAsia" w:ascii="宋体" w:hAnsi="宋体"/>
                <w:kern w:val="0"/>
                <w:sz w:val="24"/>
                <w:szCs w:val="24"/>
              </w:rPr>
              <w:t>办理项目备案（如有）</w:t>
            </w:r>
          </w:p>
        </w:tc>
        <w:tc>
          <w:tcPr>
            <w:tcW w:w="1991" w:type="pct"/>
            <w:noWrap/>
            <w:vAlign w:val="top"/>
          </w:tcPr>
          <w:p w14:paraId="6EED7902">
            <w:pPr>
              <w:tabs>
                <w:tab w:val="left" w:pos="864"/>
              </w:tabs>
              <w:spacing w:line="360" w:lineRule="auto"/>
              <w:jc w:val="center"/>
              <w:rPr>
                <w:rFonts w:ascii="宋体" w:hAnsi="宋体"/>
                <w:b w:val="0"/>
                <w:bCs w:val="0"/>
                <w:color w:val="auto"/>
                <w:kern w:val="0"/>
                <w:sz w:val="24"/>
                <w:szCs w:val="24"/>
              </w:rPr>
            </w:pPr>
          </w:p>
        </w:tc>
      </w:tr>
      <w:tr w14:paraId="0117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10EA1B4A">
            <w:pPr>
              <w:pStyle w:val="15"/>
              <w:numPr>
                <w:ilvl w:val="0"/>
                <w:numId w:val="2"/>
              </w:numPr>
              <w:tabs>
                <w:tab w:val="left" w:pos="864"/>
              </w:tabs>
              <w:spacing w:line="360" w:lineRule="auto"/>
              <w:ind w:firstLineChars="0"/>
              <w:jc w:val="center"/>
              <w:rPr>
                <w:rFonts w:ascii="宋体" w:hAnsi="宋体"/>
                <w:kern w:val="0"/>
                <w:sz w:val="24"/>
                <w:szCs w:val="24"/>
              </w:rPr>
            </w:pPr>
            <w:bookmarkStart w:id="15" w:name="_GoBack" w:colFirst="2" w:colLast="2"/>
          </w:p>
        </w:tc>
        <w:tc>
          <w:tcPr>
            <w:tcW w:w="2337" w:type="pct"/>
            <w:noWrap/>
            <w:vAlign w:val="top"/>
          </w:tcPr>
          <w:p w14:paraId="173A2A2F">
            <w:pPr>
              <w:tabs>
                <w:tab w:val="left" w:pos="864"/>
              </w:tabs>
              <w:spacing w:line="360" w:lineRule="auto"/>
              <w:jc w:val="center"/>
              <w:rPr>
                <w:rFonts w:ascii="宋体" w:hAnsi="宋体"/>
                <w:kern w:val="0"/>
                <w:sz w:val="24"/>
                <w:szCs w:val="24"/>
              </w:rPr>
            </w:pPr>
            <w:r>
              <w:rPr>
                <w:rFonts w:hint="eastAsia" w:ascii="宋体" w:hAnsi="宋体"/>
                <w:kern w:val="0"/>
                <w:sz w:val="24"/>
                <w:szCs w:val="24"/>
              </w:rPr>
              <w:t>编制采购/招标文件</w:t>
            </w:r>
          </w:p>
        </w:tc>
        <w:tc>
          <w:tcPr>
            <w:tcW w:w="3261" w:type="dxa"/>
            <w:noWrap/>
            <w:vAlign w:val="top"/>
          </w:tcPr>
          <w:p w14:paraId="644085FE">
            <w:pPr>
              <w:tabs>
                <w:tab w:val="left" w:pos="864"/>
              </w:tabs>
              <w:spacing w:line="360" w:lineRule="auto"/>
              <w:jc w:val="center"/>
              <w:rPr>
                <w:rFonts w:hint="default" w:ascii="宋体" w:hAnsi="宋体" w:eastAsia="宋体"/>
                <w:b w:val="0"/>
                <w:bCs w:val="0"/>
                <w:color w:val="auto"/>
                <w:kern w:val="0"/>
                <w:sz w:val="24"/>
                <w:szCs w:val="24"/>
                <w:lang w:val="en-US" w:eastAsia="zh-CN"/>
              </w:rPr>
            </w:pPr>
            <w:r>
              <w:rPr>
                <w:rFonts w:hint="eastAsia" w:ascii="宋体" w:hAnsi="宋体"/>
                <w:b w:val="0"/>
                <w:bCs w:val="0"/>
                <w:color w:val="auto"/>
                <w:kern w:val="0"/>
                <w:sz w:val="24"/>
                <w:szCs w:val="24"/>
                <w:lang w:val="en-US" w:eastAsia="zh-CN"/>
              </w:rPr>
              <w:t>2024年10月</w:t>
            </w:r>
          </w:p>
        </w:tc>
      </w:tr>
      <w:tr w14:paraId="161C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3EE341A8">
            <w:pPr>
              <w:pStyle w:val="15"/>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4EA55AC7">
            <w:pPr>
              <w:tabs>
                <w:tab w:val="left" w:pos="864"/>
              </w:tabs>
              <w:spacing w:line="360" w:lineRule="auto"/>
              <w:jc w:val="center"/>
              <w:rPr>
                <w:rFonts w:ascii="宋体" w:hAnsi="宋体"/>
                <w:kern w:val="0"/>
                <w:sz w:val="24"/>
                <w:szCs w:val="24"/>
              </w:rPr>
            </w:pPr>
            <w:r>
              <w:rPr>
                <w:rFonts w:hint="eastAsia" w:ascii="宋体" w:hAnsi="宋体"/>
                <w:kern w:val="0"/>
                <w:sz w:val="24"/>
                <w:szCs w:val="24"/>
              </w:rPr>
              <w:t>发布采购/招标公告</w:t>
            </w:r>
          </w:p>
        </w:tc>
        <w:tc>
          <w:tcPr>
            <w:tcW w:w="3261" w:type="dxa"/>
            <w:noWrap/>
            <w:vAlign w:val="top"/>
          </w:tcPr>
          <w:p w14:paraId="653ECC26">
            <w:pPr>
              <w:tabs>
                <w:tab w:val="left" w:pos="864"/>
              </w:tabs>
              <w:spacing w:line="360" w:lineRule="auto"/>
              <w:jc w:val="center"/>
              <w:rPr>
                <w:rFonts w:hint="default" w:ascii="宋体" w:hAnsi="宋体" w:eastAsia="宋体"/>
                <w:b w:val="0"/>
                <w:bCs w:val="0"/>
                <w:color w:val="auto"/>
                <w:kern w:val="0"/>
                <w:sz w:val="24"/>
                <w:szCs w:val="24"/>
                <w:lang w:val="en-US" w:eastAsia="zh-CN"/>
              </w:rPr>
            </w:pPr>
            <w:r>
              <w:rPr>
                <w:rFonts w:hint="eastAsia" w:ascii="宋体" w:hAnsi="宋体"/>
                <w:b w:val="0"/>
                <w:bCs w:val="0"/>
                <w:color w:val="auto"/>
                <w:kern w:val="0"/>
                <w:sz w:val="24"/>
                <w:szCs w:val="24"/>
                <w:lang w:val="en-US" w:eastAsia="zh-CN"/>
              </w:rPr>
              <w:t>2024年11月</w:t>
            </w:r>
          </w:p>
        </w:tc>
      </w:tr>
      <w:tr w14:paraId="758D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1C08B878">
            <w:pPr>
              <w:pStyle w:val="15"/>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23C75832">
            <w:pPr>
              <w:tabs>
                <w:tab w:val="left" w:pos="864"/>
              </w:tabs>
              <w:spacing w:line="360" w:lineRule="auto"/>
              <w:jc w:val="center"/>
              <w:rPr>
                <w:rFonts w:ascii="宋体" w:hAnsi="宋体"/>
                <w:kern w:val="0"/>
                <w:sz w:val="24"/>
                <w:szCs w:val="24"/>
              </w:rPr>
            </w:pPr>
            <w:r>
              <w:rPr>
                <w:rFonts w:hint="eastAsia" w:ascii="宋体" w:hAnsi="宋体"/>
                <w:kern w:val="0"/>
                <w:sz w:val="24"/>
                <w:szCs w:val="24"/>
              </w:rPr>
              <w:t>项目评审/开标、评标</w:t>
            </w:r>
          </w:p>
        </w:tc>
        <w:tc>
          <w:tcPr>
            <w:tcW w:w="3261" w:type="dxa"/>
            <w:noWrap/>
            <w:vAlign w:val="top"/>
          </w:tcPr>
          <w:p w14:paraId="126BF6A3">
            <w:pPr>
              <w:spacing w:line="360" w:lineRule="auto"/>
              <w:jc w:val="center"/>
              <w:rPr>
                <w:rFonts w:ascii="宋体" w:hAnsi="宋体"/>
                <w:b w:val="0"/>
                <w:bCs w:val="0"/>
                <w:color w:val="auto"/>
                <w:kern w:val="0"/>
                <w:sz w:val="24"/>
                <w:szCs w:val="24"/>
              </w:rPr>
            </w:pPr>
            <w:r>
              <w:rPr>
                <w:rFonts w:hint="eastAsia" w:ascii="宋体" w:hAnsi="宋体"/>
                <w:b w:val="0"/>
                <w:bCs w:val="0"/>
                <w:color w:val="auto"/>
                <w:kern w:val="0"/>
                <w:sz w:val="24"/>
                <w:szCs w:val="24"/>
                <w:lang w:val="en-US" w:eastAsia="zh-CN"/>
              </w:rPr>
              <w:t>2024年11月</w:t>
            </w:r>
          </w:p>
        </w:tc>
      </w:tr>
      <w:tr w14:paraId="7C47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089E7787">
            <w:pPr>
              <w:pStyle w:val="15"/>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319B79D3">
            <w:pPr>
              <w:tabs>
                <w:tab w:val="left" w:pos="864"/>
              </w:tabs>
              <w:spacing w:line="360" w:lineRule="auto"/>
              <w:jc w:val="center"/>
              <w:rPr>
                <w:rFonts w:ascii="宋体" w:hAnsi="宋体"/>
                <w:kern w:val="0"/>
                <w:sz w:val="24"/>
                <w:szCs w:val="24"/>
              </w:rPr>
            </w:pPr>
            <w:r>
              <w:rPr>
                <w:rFonts w:hint="eastAsia" w:ascii="宋体" w:hAnsi="宋体"/>
                <w:kern w:val="0"/>
                <w:sz w:val="24"/>
                <w:szCs w:val="24"/>
              </w:rPr>
              <w:t>发布成交/中标公告</w:t>
            </w:r>
          </w:p>
        </w:tc>
        <w:tc>
          <w:tcPr>
            <w:tcW w:w="3261" w:type="dxa"/>
            <w:noWrap/>
            <w:vAlign w:val="top"/>
          </w:tcPr>
          <w:p w14:paraId="353C3179">
            <w:pPr>
              <w:spacing w:line="360" w:lineRule="auto"/>
              <w:jc w:val="center"/>
              <w:rPr>
                <w:rFonts w:ascii="宋体" w:hAnsi="宋体"/>
                <w:b w:val="0"/>
                <w:bCs w:val="0"/>
                <w:color w:val="auto"/>
                <w:kern w:val="0"/>
                <w:sz w:val="24"/>
                <w:szCs w:val="24"/>
              </w:rPr>
            </w:pPr>
            <w:r>
              <w:rPr>
                <w:rFonts w:hint="eastAsia" w:ascii="宋体" w:hAnsi="宋体"/>
                <w:b w:val="0"/>
                <w:bCs w:val="0"/>
                <w:color w:val="auto"/>
                <w:kern w:val="0"/>
                <w:sz w:val="24"/>
                <w:szCs w:val="24"/>
                <w:lang w:val="en-US" w:eastAsia="zh-CN"/>
              </w:rPr>
              <w:t>2024年11月</w:t>
            </w:r>
          </w:p>
        </w:tc>
      </w:tr>
      <w:tr w14:paraId="2074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72" w:type="pct"/>
            <w:noWrap/>
            <w:vAlign w:val="top"/>
          </w:tcPr>
          <w:p w14:paraId="7E8ED663">
            <w:pPr>
              <w:pStyle w:val="15"/>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31F52274">
            <w:pPr>
              <w:tabs>
                <w:tab w:val="left" w:pos="864"/>
              </w:tabs>
              <w:spacing w:line="360" w:lineRule="auto"/>
              <w:jc w:val="center"/>
              <w:rPr>
                <w:rFonts w:ascii="宋体" w:hAnsi="宋体"/>
                <w:kern w:val="0"/>
                <w:sz w:val="24"/>
                <w:szCs w:val="24"/>
              </w:rPr>
            </w:pPr>
            <w:r>
              <w:rPr>
                <w:rFonts w:hint="eastAsia" w:ascii="宋体" w:hAnsi="宋体"/>
                <w:kern w:val="0"/>
                <w:sz w:val="24"/>
                <w:szCs w:val="24"/>
              </w:rPr>
              <w:t>签订采购合同</w:t>
            </w:r>
          </w:p>
        </w:tc>
        <w:tc>
          <w:tcPr>
            <w:tcW w:w="3261" w:type="dxa"/>
            <w:noWrap/>
            <w:vAlign w:val="top"/>
          </w:tcPr>
          <w:p w14:paraId="1B86485F">
            <w:pPr>
              <w:spacing w:line="360" w:lineRule="auto"/>
              <w:jc w:val="center"/>
              <w:rPr>
                <w:rFonts w:ascii="宋体" w:hAnsi="宋体"/>
                <w:b w:val="0"/>
                <w:bCs w:val="0"/>
                <w:color w:val="auto"/>
                <w:kern w:val="0"/>
                <w:sz w:val="24"/>
                <w:szCs w:val="24"/>
              </w:rPr>
            </w:pPr>
            <w:r>
              <w:rPr>
                <w:rFonts w:hint="eastAsia" w:ascii="宋体" w:hAnsi="宋体"/>
                <w:b w:val="0"/>
                <w:bCs w:val="0"/>
                <w:color w:val="auto"/>
                <w:kern w:val="0"/>
                <w:sz w:val="24"/>
                <w:szCs w:val="24"/>
                <w:lang w:val="en-US" w:eastAsia="zh-CN"/>
              </w:rPr>
              <w:t>2024年12月</w:t>
            </w:r>
          </w:p>
        </w:tc>
      </w:tr>
      <w:bookmarkEnd w:id="15"/>
    </w:tbl>
    <w:p w14:paraId="5A78E4B4">
      <w:pPr>
        <w:pStyle w:val="14"/>
        <w:spacing w:line="360" w:lineRule="auto"/>
        <w:ind w:firstLine="482"/>
        <w:rPr>
          <w:rFonts w:ascii="宋体" w:hAnsi="宋体"/>
          <w:b/>
          <w:bCs/>
          <w:sz w:val="24"/>
          <w:szCs w:val="24"/>
        </w:rPr>
      </w:pPr>
      <w:bookmarkStart w:id="2" w:name="_Toc17074"/>
      <w:r>
        <w:rPr>
          <w:rFonts w:hint="eastAsia" w:ascii="宋体" w:hAnsi="宋体"/>
          <w:b/>
          <w:bCs/>
          <w:sz w:val="24"/>
          <w:szCs w:val="24"/>
        </w:rPr>
        <w:t>（三）采购组织形式和委托代理安排</w:t>
      </w:r>
      <w:bookmarkEnd w:id="2"/>
    </w:p>
    <w:p w14:paraId="782EDFB2">
      <w:pPr>
        <w:widowControl/>
        <w:spacing w:line="360" w:lineRule="auto"/>
        <w:ind w:firstLine="600"/>
        <w:jc w:val="left"/>
        <w:rPr>
          <w:rFonts w:ascii="宋体" w:hAnsi="宋体" w:cs="仿宋"/>
          <w:sz w:val="24"/>
          <w:szCs w:val="24"/>
        </w:rPr>
      </w:pPr>
      <w:r>
        <w:rPr>
          <w:rFonts w:hint="eastAsia" w:ascii="宋体" w:hAnsi="宋体" w:cs="仿宋"/>
          <w:sz w:val="24"/>
          <w:szCs w:val="24"/>
        </w:rPr>
        <w:t>1</w:t>
      </w:r>
      <w:r>
        <w:rPr>
          <w:rFonts w:ascii="宋体" w:hAnsi="宋体" w:cs="仿宋"/>
          <w:sz w:val="24"/>
          <w:szCs w:val="24"/>
        </w:rPr>
        <w:t>.</w:t>
      </w:r>
      <w:r>
        <w:rPr>
          <w:rFonts w:hint="eastAsia" w:ascii="宋体" w:hAnsi="宋体" w:cs="仿宋"/>
          <w:sz w:val="24"/>
          <w:szCs w:val="24"/>
        </w:rPr>
        <w:t>采购组织形式</w:t>
      </w:r>
    </w:p>
    <w:p w14:paraId="096D42D5">
      <w:pPr>
        <w:widowControl/>
        <w:spacing w:line="360" w:lineRule="auto"/>
        <w:ind w:firstLine="600"/>
        <w:jc w:val="left"/>
        <w:rPr>
          <w:rFonts w:ascii="宋体" w:hAnsi="宋体" w:cs="仿宋"/>
          <w:sz w:val="24"/>
          <w:szCs w:val="24"/>
        </w:rPr>
      </w:pPr>
      <w:r>
        <w:rPr>
          <w:rFonts w:hint="eastAsia" w:ascii="宋体" w:hAnsi="宋体" w:cs="仿宋"/>
          <w:sz w:val="24"/>
          <w:szCs w:val="24"/>
        </w:rPr>
        <w:t>□自行采购</w:t>
      </w:r>
    </w:p>
    <w:p w14:paraId="739F97B5">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委托代理公司采购</w:t>
      </w:r>
    </w:p>
    <w:p w14:paraId="64AADE78">
      <w:pPr>
        <w:widowControl/>
        <w:spacing w:line="360" w:lineRule="auto"/>
        <w:ind w:firstLine="600"/>
        <w:jc w:val="left"/>
        <w:rPr>
          <w:rFonts w:ascii="宋体" w:hAnsi="宋体" w:cs="仿宋"/>
          <w:sz w:val="24"/>
          <w:szCs w:val="24"/>
        </w:rPr>
      </w:pPr>
      <w:r>
        <w:rPr>
          <w:rFonts w:hint="eastAsia" w:ascii="宋体" w:hAnsi="宋体" w:cs="仿宋"/>
          <w:sz w:val="24"/>
          <w:szCs w:val="24"/>
        </w:rPr>
        <w:t>2</w:t>
      </w:r>
      <w:r>
        <w:rPr>
          <w:rFonts w:ascii="宋体" w:hAnsi="宋体" w:cs="仿宋"/>
          <w:sz w:val="24"/>
          <w:szCs w:val="24"/>
        </w:rPr>
        <w:t>.</w:t>
      </w:r>
      <w:r>
        <w:rPr>
          <w:rFonts w:hint="eastAsia" w:ascii="宋体" w:hAnsi="宋体" w:cs="仿宋"/>
          <w:sz w:val="24"/>
          <w:szCs w:val="24"/>
        </w:rPr>
        <w:t>委托代理安排：委托代理采购</w:t>
      </w:r>
    </w:p>
    <w:p w14:paraId="04358E24">
      <w:pPr>
        <w:widowControl/>
        <w:spacing w:line="360" w:lineRule="auto"/>
        <w:ind w:firstLine="600"/>
        <w:jc w:val="left"/>
        <w:rPr>
          <w:rFonts w:ascii="宋体" w:hAnsi="宋体" w:cs="仿宋"/>
          <w:sz w:val="24"/>
          <w:szCs w:val="24"/>
        </w:rPr>
      </w:pPr>
      <w:r>
        <w:rPr>
          <w:rFonts w:ascii="宋体" w:hAnsi="宋体" w:cs="仿宋"/>
          <w:sz w:val="24"/>
          <w:szCs w:val="24"/>
        </w:rPr>
        <w:t>3.</w:t>
      </w:r>
      <w:r>
        <w:rPr>
          <w:rFonts w:hint="eastAsia" w:ascii="宋体" w:hAnsi="宋体" w:cs="仿宋"/>
          <w:sz w:val="24"/>
          <w:szCs w:val="24"/>
        </w:rPr>
        <w:t>采购信息发布媒体（可多选）：</w:t>
      </w:r>
    </w:p>
    <w:p w14:paraId="7E1DC874">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lang w:val="en-US" w:eastAsia="zh-CN"/>
        </w:rPr>
        <w:t>湄洲湾职业技术学院后勤通告</w:t>
      </w:r>
      <w:r>
        <w:rPr>
          <w:rFonts w:hint="eastAsia" w:ascii="宋体" w:hAnsi="宋体" w:cs="仿宋"/>
          <w:sz w:val="24"/>
          <w:szCs w:val="24"/>
        </w:rPr>
        <w:t>主页</w:t>
      </w:r>
    </w:p>
    <w:p w14:paraId="0C2B9AD1">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中国政府采购网</w:t>
      </w:r>
    </w:p>
    <w:p w14:paraId="13642453">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福建</w:t>
      </w:r>
      <w:r>
        <w:rPr>
          <w:rFonts w:hint="eastAsia" w:ascii="宋体" w:hAnsi="宋体" w:cs="仿宋"/>
          <w:sz w:val="24"/>
          <w:szCs w:val="24"/>
        </w:rPr>
        <w:t>省公共资源交易中心网站</w:t>
      </w:r>
    </w:p>
    <w:p w14:paraId="0230CB64">
      <w:pPr>
        <w:widowControl/>
        <w:spacing w:line="360" w:lineRule="auto"/>
        <w:ind w:firstLine="600"/>
        <w:jc w:val="left"/>
        <w:rPr>
          <w:rFonts w:hint="eastAsia" w:ascii="宋体" w:hAnsi="宋体" w:cs="仿宋"/>
          <w:sz w:val="24"/>
          <w:szCs w:val="24"/>
        </w:rPr>
      </w:pPr>
      <w:r>
        <w:rPr>
          <w:rFonts w:hint="eastAsia" w:ascii="宋体" w:hAnsi="宋体" w:cs="仿宋"/>
          <w:sz w:val="24"/>
          <w:szCs w:val="24"/>
        </w:rPr>
        <w:t>□其他：</w:t>
      </w:r>
    </w:p>
    <w:p w14:paraId="47761CF7">
      <w:pPr>
        <w:rPr>
          <w:rFonts w:hint="eastAsia" w:ascii="宋体" w:hAnsi="宋体" w:cs="仿宋"/>
          <w:sz w:val="24"/>
          <w:szCs w:val="24"/>
        </w:rPr>
      </w:pPr>
      <w:r>
        <w:rPr>
          <w:rFonts w:hint="eastAsia" w:ascii="宋体" w:hAnsi="宋体" w:cs="仿宋"/>
          <w:sz w:val="24"/>
          <w:szCs w:val="24"/>
        </w:rPr>
        <w:br w:type="page"/>
      </w:r>
    </w:p>
    <w:p w14:paraId="54489170">
      <w:pPr>
        <w:pStyle w:val="14"/>
        <w:spacing w:line="360" w:lineRule="auto"/>
        <w:ind w:firstLine="482"/>
        <w:rPr>
          <w:rFonts w:hint="eastAsia" w:ascii="宋体" w:hAnsi="宋体"/>
          <w:b/>
          <w:bCs/>
          <w:sz w:val="24"/>
          <w:szCs w:val="24"/>
        </w:rPr>
        <w:sectPr>
          <w:pgSz w:w="11906" w:h="16838"/>
          <w:pgMar w:top="1440" w:right="1800" w:bottom="1440" w:left="1800" w:header="851" w:footer="992" w:gutter="0"/>
          <w:cols w:space="425" w:num="1"/>
          <w:docGrid w:type="lines" w:linePitch="312" w:charSpace="0"/>
        </w:sectPr>
      </w:pPr>
      <w:bookmarkStart w:id="3" w:name="_Toc32558"/>
    </w:p>
    <w:p w14:paraId="4C7A4775">
      <w:pPr>
        <w:pStyle w:val="14"/>
        <w:spacing w:line="360" w:lineRule="auto"/>
        <w:ind w:firstLine="482"/>
        <w:rPr>
          <w:rFonts w:ascii="宋体" w:hAnsi="宋体"/>
          <w:b/>
          <w:bCs/>
          <w:sz w:val="24"/>
          <w:szCs w:val="24"/>
        </w:rPr>
      </w:pPr>
      <w:r>
        <w:rPr>
          <w:rFonts w:hint="eastAsia" w:ascii="宋体" w:hAnsi="宋体"/>
          <w:b/>
          <w:bCs/>
          <w:sz w:val="24"/>
          <w:szCs w:val="24"/>
        </w:rPr>
        <w:t>（四）采购包划分与合同分包</w:t>
      </w:r>
      <w:bookmarkEnd w:id="3"/>
    </w:p>
    <w:p w14:paraId="6F547EB7">
      <w:pPr>
        <w:widowControl/>
        <w:spacing w:line="360" w:lineRule="auto"/>
        <w:ind w:firstLine="600"/>
        <w:jc w:val="left"/>
        <w:rPr>
          <w:rFonts w:hint="eastAsia" w:ascii="宋体" w:hAnsi="宋体" w:cs="仿宋"/>
          <w:sz w:val="24"/>
          <w:szCs w:val="24"/>
        </w:rPr>
      </w:pPr>
      <w:r>
        <w:rPr>
          <w:rFonts w:hint="eastAsia" w:ascii="宋体" w:hAnsi="宋体" w:cs="仿宋"/>
          <w:sz w:val="24"/>
          <w:szCs w:val="24"/>
        </w:rPr>
        <w:t>标包一：</w:t>
      </w:r>
    </w:p>
    <w:tbl>
      <w:tblPr>
        <w:tblStyle w:val="10"/>
        <w:tblW w:w="10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80"/>
        <w:gridCol w:w="3806"/>
        <w:gridCol w:w="754"/>
        <w:gridCol w:w="735"/>
        <w:gridCol w:w="1320"/>
        <w:gridCol w:w="1252"/>
      </w:tblGrid>
      <w:tr w14:paraId="460E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22" w:type="dxa"/>
            <w:vAlign w:val="center"/>
          </w:tcPr>
          <w:p w14:paraId="49188775">
            <w:pPr>
              <w:autoSpaceDE w:val="0"/>
              <w:autoSpaceDN w:val="0"/>
              <w:adjustRightInd w:val="0"/>
              <w:snapToGrid w:val="0"/>
              <w:spacing w:line="360" w:lineRule="auto"/>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序号</w:t>
            </w:r>
          </w:p>
        </w:tc>
        <w:tc>
          <w:tcPr>
            <w:tcW w:w="1380" w:type="dxa"/>
            <w:vAlign w:val="center"/>
          </w:tcPr>
          <w:p w14:paraId="2A82A6E1">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名称</w:t>
            </w:r>
          </w:p>
        </w:tc>
        <w:tc>
          <w:tcPr>
            <w:tcW w:w="3806" w:type="dxa"/>
            <w:vAlign w:val="center"/>
          </w:tcPr>
          <w:p w14:paraId="6D96275C">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技术参数及功能要求</w:t>
            </w:r>
          </w:p>
        </w:tc>
        <w:tc>
          <w:tcPr>
            <w:tcW w:w="754" w:type="dxa"/>
            <w:vAlign w:val="center"/>
          </w:tcPr>
          <w:p w14:paraId="7660FCDB">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数量</w:t>
            </w:r>
          </w:p>
        </w:tc>
        <w:tc>
          <w:tcPr>
            <w:tcW w:w="735" w:type="dxa"/>
            <w:vAlign w:val="center"/>
          </w:tcPr>
          <w:p w14:paraId="79D81E3B">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单位</w:t>
            </w:r>
          </w:p>
        </w:tc>
        <w:tc>
          <w:tcPr>
            <w:tcW w:w="1320" w:type="dxa"/>
            <w:vAlign w:val="center"/>
          </w:tcPr>
          <w:p w14:paraId="778710B1">
            <w:pPr>
              <w:autoSpaceDE w:val="0"/>
              <w:autoSpaceDN w:val="0"/>
              <w:adjustRightInd w:val="0"/>
              <w:snapToGrid w:val="0"/>
              <w:spacing w:line="220" w:lineRule="atLeast"/>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预算单价</w:t>
            </w:r>
          </w:p>
          <w:p w14:paraId="4688DC33">
            <w:pPr>
              <w:autoSpaceDE w:val="0"/>
              <w:autoSpaceDN w:val="0"/>
              <w:adjustRightInd w:val="0"/>
              <w:snapToGrid w:val="0"/>
              <w:spacing w:line="220" w:lineRule="atLeast"/>
              <w:jc w:val="center"/>
              <w:textAlignment w:val="center"/>
              <w:rPr>
                <w:rFonts w:hint="eastAsia" w:asciiTheme="majorEastAsia" w:hAnsiTheme="majorEastAsia" w:eastAsiaTheme="majorEastAsia" w:cstheme="majorEastAsia"/>
                <w:b w:val="0"/>
                <w:bCs w:val="0"/>
                <w:snapToGrid w:val="0"/>
                <w:color w:val="auto"/>
                <w:spacing w:val="-20"/>
                <w:kern w:val="0"/>
                <w:sz w:val="24"/>
                <w:szCs w:val="24"/>
              </w:rPr>
            </w:pPr>
            <w:r>
              <w:rPr>
                <w:rFonts w:hint="eastAsia" w:asciiTheme="majorEastAsia" w:hAnsiTheme="majorEastAsia" w:eastAsiaTheme="majorEastAsia" w:cstheme="majorEastAsia"/>
                <w:b w:val="0"/>
                <w:bCs w:val="0"/>
                <w:snapToGrid w:val="0"/>
                <w:color w:val="auto"/>
                <w:spacing w:val="-20"/>
                <w:kern w:val="0"/>
                <w:sz w:val="24"/>
                <w:szCs w:val="24"/>
              </w:rPr>
              <w:t>（元）</w:t>
            </w:r>
          </w:p>
        </w:tc>
        <w:tc>
          <w:tcPr>
            <w:tcW w:w="1252" w:type="dxa"/>
            <w:vAlign w:val="center"/>
          </w:tcPr>
          <w:p w14:paraId="7569067E">
            <w:pPr>
              <w:autoSpaceDE w:val="0"/>
              <w:autoSpaceDN w:val="0"/>
              <w:adjustRightInd w:val="0"/>
              <w:snapToGrid w:val="0"/>
              <w:spacing w:line="220" w:lineRule="atLeast"/>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预算金额</w:t>
            </w:r>
          </w:p>
          <w:p w14:paraId="6ECF7472">
            <w:pPr>
              <w:autoSpaceDE w:val="0"/>
              <w:autoSpaceDN w:val="0"/>
              <w:adjustRightInd w:val="0"/>
              <w:snapToGrid w:val="0"/>
              <w:spacing w:line="220" w:lineRule="atLeast"/>
              <w:jc w:val="center"/>
              <w:textAlignment w:val="center"/>
              <w:rPr>
                <w:rFonts w:hint="eastAsia" w:asciiTheme="majorEastAsia" w:hAnsiTheme="majorEastAsia" w:eastAsiaTheme="majorEastAsia" w:cstheme="majorEastAsia"/>
                <w:b w:val="0"/>
                <w:bCs w:val="0"/>
                <w:color w:val="auto"/>
                <w:kern w:val="24"/>
                <w:sz w:val="24"/>
                <w:szCs w:val="24"/>
              </w:rPr>
            </w:pPr>
            <w:r>
              <w:rPr>
                <w:rFonts w:hint="eastAsia" w:asciiTheme="majorEastAsia" w:hAnsiTheme="majorEastAsia" w:eastAsiaTheme="majorEastAsia" w:cstheme="majorEastAsia"/>
                <w:b w:val="0"/>
                <w:bCs w:val="0"/>
                <w:snapToGrid w:val="0"/>
                <w:color w:val="auto"/>
                <w:spacing w:val="-20"/>
                <w:kern w:val="0"/>
                <w:sz w:val="24"/>
                <w:szCs w:val="24"/>
              </w:rPr>
              <w:t>（元）</w:t>
            </w:r>
          </w:p>
        </w:tc>
      </w:tr>
      <w:tr w14:paraId="14EF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2" w:type="dxa"/>
            <w:vAlign w:val="center"/>
          </w:tcPr>
          <w:p w14:paraId="6978EA06">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1</w:t>
            </w:r>
          </w:p>
        </w:tc>
        <w:tc>
          <w:tcPr>
            <w:tcW w:w="1380" w:type="dxa"/>
            <w:vAlign w:val="center"/>
          </w:tcPr>
          <w:p w14:paraId="4020CDD5">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旋臂式三目宝石显微镜(含相关配套网络设备）</w:t>
            </w:r>
          </w:p>
        </w:tc>
        <w:tc>
          <w:tcPr>
            <w:tcW w:w="3806" w:type="dxa"/>
            <w:shd w:val="clear" w:color="auto" w:fill="auto"/>
            <w:vAlign w:val="center"/>
          </w:tcPr>
          <w:p w14:paraId="2600FCF4">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学生用来观察宝石内部的特征和外部特征包裹体，配备网络设备可以通过教师端口时时了解学生上课动态。</w:t>
            </w:r>
          </w:p>
          <w:p w14:paraId="08537A9C">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一、硬件要求：</w:t>
            </w:r>
          </w:p>
          <w:p w14:paraId="64CEB2D1">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1）光学系统：Greenough</w:t>
            </w:r>
          </w:p>
          <w:p w14:paraId="1A97BCCB">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2）观察角度：45º,高清晰度、高景深、立体图像；</w:t>
            </w:r>
          </w:p>
          <w:p w14:paraId="1EE67A96">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3）主机变倍比：6.7:1；</w:t>
            </w:r>
          </w:p>
          <w:p w14:paraId="7B9C4F53">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4）主机变倍比范围：0.75X-5.0X；</w:t>
            </w:r>
          </w:p>
          <w:p w14:paraId="15C35AB1">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5）目镜：视度可调/WF/10X/23mm，高眼点超广角；</w:t>
            </w:r>
          </w:p>
          <w:p w14:paraId="1938BEF3">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6）放大倍率7.5X，视场直径：30.67mm,放大倍率100X,视场直径2.6mm；</w:t>
            </w:r>
          </w:p>
          <w:p w14:paraId="55D53998">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7）瞳距范围：48mm-75mm；</w:t>
            </w:r>
          </w:p>
          <w:p w14:paraId="00E2B91E">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8）视度调节，调节范围：±5屈光度；</w:t>
            </w:r>
          </w:p>
          <w:p w14:paraId="402DC430">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9）工作距离：110mm，具有防霉设计；</w:t>
            </w:r>
          </w:p>
          <w:p w14:paraId="6F16269B">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10）调焦机构：V型导轨与钢球组合构成调节机构，保证调焦灵活、稳定；</w:t>
            </w:r>
          </w:p>
          <w:p w14:paraId="33137FF5">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11）7W日光型荧光灯（色温：6000K,显色指数：85）蛇形管便于调节照明角度；</w:t>
            </w:r>
          </w:p>
          <w:p w14:paraId="4C13E699">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12）立臂式底座：V型导轨与钢球组合构成调节机构，保证调焦灵活舒适、稳定可靠，物镜中心自动对准工作台板中心，镜体安装尺寸：直径76mm,调焦总行程：140mm,镜架内置、可调角度、可调亮度3WLED落射光源；</w:t>
            </w:r>
          </w:p>
          <w:p w14:paraId="3DDED6CB">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13）标配10X/20mmm目镜</w:t>
            </w:r>
          </w:p>
          <w:p w14:paraId="3B918CD9">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14）系统最大放大倍率：300X</w:t>
            </w:r>
          </w:p>
          <w:p w14:paraId="40932502">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15）系统最大工作距离：301mm</w:t>
            </w:r>
          </w:p>
          <w:p w14:paraId="5496CEF4">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16）系统最大视场：102.2mm</w:t>
            </w:r>
          </w:p>
          <w:p w14:paraId="5DE12F66">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17）钢丝宝石夹减少宝石腰部光线遮挡，可全方位观察宝石</w:t>
            </w:r>
          </w:p>
          <w:p w14:paraId="413F019B">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18）底座可360°转动，方便多人交流，附件：暗场照明器、组合偏光器、独立偏光器</w:t>
            </w:r>
          </w:p>
          <w:p w14:paraId="7AAA2448">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19）无线采集器：内置高分辨率摄像系统,进口高清彩色芯片，静态1600万像素，动态分辨率1080P;wifi无线传输,可连接各类智能终端，不受品牌、操作系统限制。各类智能终端与显微镜无线连接，实时呈现优质的镜下图像。</w:t>
            </w:r>
          </w:p>
          <w:p w14:paraId="3E03AD78">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20）通过输入姓名和显微镜编制的号码，可直接登录实时显示显微镜图像。</w:t>
            </w:r>
          </w:p>
          <w:p w14:paraId="6CD82AF1">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21）宏观实验可直接调用手机相机，进行宏观拍摄。</w:t>
            </w:r>
          </w:p>
          <w:p w14:paraId="2BBF7CA4">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22）图像采集：可对实时视频图像进行捕捉、录像。直接将图像存储在学生智能移动终端。</w:t>
            </w:r>
          </w:p>
          <w:p w14:paraId="59CD8D1A">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23）使用“信息交流”功能可及时的请教老师问题，把不理解的切片标注问题后发送给老师，老师可以直接在学生标注好问题的图片上回答。</w:t>
            </w:r>
          </w:p>
          <w:p w14:paraId="30071F90">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24)学生可自带智能移动终端（手机），通过二维码扫描，免费下载APP，将镜下图像远程传输，与老师、同学实时交流。兼容Android、IOS、Windows等操作系统可跨平台、多终端同时使用。</w:t>
            </w:r>
          </w:p>
          <w:p w14:paraId="6DC3C5A8">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25）图像设备:1/3”CMOS</w:t>
            </w:r>
          </w:p>
          <w:p w14:paraId="1B6DD510">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26）分辨率:2592x1480有效像素</w:t>
            </w:r>
          </w:p>
          <w:p w14:paraId="311F11C7">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27）像素点尺寸:2.0μmx2.0μm</w:t>
            </w:r>
          </w:p>
          <w:p w14:paraId="042433F9">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28）帧率:≈15~30 帧/秒（取决于图像格式、尺寸及计算机配置）</w:t>
            </w:r>
          </w:p>
          <w:p w14:paraId="7789C470">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29）快门:电子快门</w:t>
            </w:r>
          </w:p>
          <w:p w14:paraId="17A91D76">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30）信噪比:&gt;38.1dB</w:t>
            </w:r>
          </w:p>
          <w:p w14:paraId="256FE0E8">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31）扫描方式:逐行扫描</w:t>
            </w:r>
          </w:p>
          <w:p w14:paraId="5DCDE3D8">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32）电脑：静态和实时图像的捕获</w:t>
            </w:r>
          </w:p>
          <w:p w14:paraId="6AB5C583">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33）白平衡：AWB与不同白平衡模式</w:t>
            </w:r>
          </w:p>
          <w:p w14:paraId="45601840">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34）操作系统:Windows 7 / 10， Mac OS</w:t>
            </w:r>
          </w:p>
          <w:p w14:paraId="72EACEF5">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35）输出：RJ45 Wi-Fi</w:t>
            </w:r>
          </w:p>
          <w:p w14:paraId="6595890A">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36）WIFI输出功率：5db</w:t>
            </w:r>
          </w:p>
          <w:p w14:paraId="49EFCF28">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37）WIFI标准：IEEE802.11b/g/n/ac</w:t>
            </w:r>
          </w:p>
          <w:p w14:paraId="582C52F0">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38）电源:DC 5V ± 5%</w:t>
            </w:r>
          </w:p>
          <w:p w14:paraId="5818A2BF">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39）电流:≈200 mA</w:t>
            </w:r>
          </w:p>
          <w:p w14:paraId="2C000BDE">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40）功率:≈1.0 W </w:t>
            </w:r>
          </w:p>
          <w:p w14:paraId="4B6B7C9A">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41）工作温度:0°C ~ 50°C </w:t>
            </w:r>
          </w:p>
          <w:p w14:paraId="600B5421">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42）存储温度:-10°C ~ 60°C </w:t>
            </w:r>
          </w:p>
          <w:p w14:paraId="48BE26EF">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二、软件要求：</w:t>
            </w:r>
          </w:p>
          <w:p w14:paraId="27E20C21">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1）软件提供基本的拍照、录像功能，能实时动态的观察图象，所见即所得；</w:t>
            </w:r>
          </w:p>
          <w:p w14:paraId="54F5AA3A">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2）软件能对选定目标进行滤镜处理、分割及自动记数，记数结果可导出为EXCEL文件</w:t>
            </w:r>
          </w:p>
          <w:p w14:paraId="4A074516">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3）通过DIS模块能实现实时图像的远程共享；</w:t>
            </w:r>
          </w:p>
          <w:p w14:paraId="75BF9A07">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4）能将捕捉的图像高速导入电脑，图像分辨率无需压缩可达1600*1200；</w:t>
            </w:r>
          </w:p>
          <w:p w14:paraId="2D90C765">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5）校准与测量：校准尺度后对图像进行直线、矩形、圆、圆（3点）、椭圆、多边形、不规则多边形、角度、折线等的测量；</w:t>
            </w:r>
          </w:p>
          <w:p w14:paraId="0652D52D">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6）图像分割处理：对图像进行分割和分割设置及对分割结果进行自动计算、选取目标、目标腐蚀、目标扩展、填充孔洞、去除噪声、目标内轮廓、目标外轮廓、目标梯度和八种颜色分割等处理；</w:t>
            </w:r>
          </w:p>
          <w:p w14:paraId="000BCFE7">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7）专业的自动拼图模块，支持多种图像输入格式，最大支持20*20张图像的拼接；</w:t>
            </w:r>
          </w:p>
          <w:p w14:paraId="61E7BC7C">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8）拼接速度快、准确；具有去模糊多层聚焦功能，支持多种输入格式，合成速度快，合成图像效果好；</w:t>
            </w:r>
          </w:p>
          <w:p w14:paraId="516ADF32">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9）手机、平板、PC可同时连接，使用互不干扰，速度不受影响。</w:t>
            </w:r>
          </w:p>
          <w:p w14:paraId="7FB8BE8D">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三、企业级双频路由器要求：</w:t>
            </w:r>
          </w:p>
          <w:p w14:paraId="023E13F6">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1）采用802.11AC无线技术，2.4GHz和5.0GHz双频并发，无线速率达到2533Mbps，单台服务用户数50（2.4GHz），100（5.0GHz）；</w:t>
            </w:r>
          </w:p>
          <w:p w14:paraId="4E361A68">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2）外置8根5dBi单频天线；</w:t>
            </w:r>
          </w:p>
          <w:p w14:paraId="553DC595">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3）5个千兆网口（1个WAN口，3个WAN/LAN可变口和1个LAN口）；</w:t>
            </w:r>
          </w:p>
          <w:p w14:paraId="3534B4D4">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4）PPTP,L2TP,L2TP over IPSec三种VPN客户端模式；</w:t>
            </w:r>
          </w:p>
          <w:p w14:paraId="55857DFA">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5）MU-MIMO无线技术；</w:t>
            </w:r>
          </w:p>
          <w:p w14:paraId="404E769E">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6）行为管理功能</w:t>
            </w:r>
          </w:p>
          <w:p w14:paraId="5C086026">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四、互动控制系统：</w:t>
            </w:r>
          </w:p>
          <w:p w14:paraId="459449AA">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1）跨平台解决方案：同时支持Android、IOS、Windows等操作系统，通过手机、平板电脑等智能终端即可实现显微互动教学。学生智能终端不受种类、操作系统、品牌的限制。</w:t>
            </w:r>
          </w:p>
          <w:p w14:paraId="0A3D798C">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学生端数码显微镜通过无线的方式与智能终端进行连接成像，学生端通过无线的方式汇聚到教师端控制系统。确保系统在同时满足以下条件的前提下，显微图像能实时传输、互动，无延时。学生端具备有多种类型、多种操作系统无线智能终端。</w:t>
            </w:r>
          </w:p>
          <w:p w14:paraId="14BFCB0A">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系统主要功能：3.1）、系统具备：微观实验、宏观实验、教学示范、师生交流等功能模块。用户可通过系统进行微观实验和宏观实验，并进行实时交流。3.2）微观实验和宏观实验可进行实施评价并进行实验等级评定。</w:t>
            </w:r>
          </w:p>
          <w:p w14:paraId="67136791">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4）系统使用及更新：用户可通过外网下载APP，并实时进行厂商最新程序的更新。</w:t>
            </w:r>
          </w:p>
          <w:p w14:paraId="51B6B2DB">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5）二种监控通道模式：主界面可以直接显示教师图像（教师显微镜图像）、学生图像（学生显微镜图像），二个通道之间可以一键切换。</w:t>
            </w:r>
          </w:p>
          <w:p w14:paraId="6545E21A">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6）可以显示所有学生图像观察窗口，用于实时查看学生端显微镜下的图像。学生姓名(包括学生座号)显示在每个学生端图像窗口上方的标题栏上。在任意学生端图像窗口上点击鼠标右键，将弹出学生图像观察窗口快捷菜单。</w:t>
            </w:r>
          </w:p>
          <w:p w14:paraId="7CCB61DB">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7）可以显示教师图像观察窗口，用于实时查看本地（教师端）显微镜下的图像。在观察窗口中点击鼠标右键，将弹出教师图像观察窗口快捷菜单。</w:t>
            </w:r>
          </w:p>
          <w:p w14:paraId="6537D166">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8）单击任意学生端图像窗口，则该学生图像就会处于选中状态，此时用户就可以进行相关操作。在任意学生端图像窗口中双击鼠标滚轮键可以使该学生窗口图像充满窗口，（此时点击学生图像左下角的全屏按钮可以全屏显示学生图像）再次双击鼠标滚轮键则返回原来图像大小。</w:t>
            </w:r>
          </w:p>
          <w:p w14:paraId="392F4E63">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9）点击学生屏幕标签将显示学生屏幕观察窗口，用于实时监控多个学生端电脑屏幕的活动。学生姓名(包括学生座号)显示在每个学生端屏幕窗口上方的标题栏上。在任意学生端屏幕窗口上点击鼠标右键，将弹出学生屏幕观察窗口快捷菜单。</w:t>
            </w:r>
          </w:p>
          <w:p w14:paraId="1B77A4C1">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10）教学示范：可以将教师端/学生端屏幕的图像传输到所有学生端进行图像教学。</w:t>
            </w:r>
          </w:p>
          <w:p w14:paraId="14682A32">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11）RGB调整及记忆：进行实时图像的红、绿、蓝颜色调节。具有图像RGB参数调整记忆功能。能够设置多组不同的RGB色彩参数，下堂课，无需调整，一键还原。需提供真实软件界面截图说明。</w:t>
            </w:r>
          </w:p>
          <w:p w14:paraId="69DF0225">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12）拍照录像功能：拍摄（手动/自动）、录像教师镜下图像或屏幕图像；</w:t>
            </w:r>
          </w:p>
          <w:p w14:paraId="7A277FFA">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13）掌控教室进程功能；电子点名功能;作业下发功能；支持网络化考试；支持实验报告电子版批改；网络影院功能；屏幕录制功能；</w:t>
            </w:r>
          </w:p>
          <w:p w14:paraId="08206129">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14）一键图像校正：预设了针对3种不同显微镜设备(包括生物显微镜、体视显微镜和金相显微镜)切片的参数值，方便不会调节图像参数的用户。切片放置完毕后，选择对应切片类型或者显微镜设备，点击一键图像校正按钮。图像参数会自动调节成预设的值。提供真实软件界面截图。</w:t>
            </w:r>
          </w:p>
          <w:p w14:paraId="797A0351">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五、图像处理软件：</w:t>
            </w:r>
          </w:p>
          <w:p w14:paraId="52E063F2">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基本调节：以下所有设置在一个窗口完成。1.1）视频设备：可以选择不同的视频设备。1.2）分辨率：可以选择不同的分辨率；1.3）曝光、增益、偏移、增强、伽马值；曝光可以选择自动和手动。1.4）白平衡微调，计算白平衡、读取背景；白平衡微调有卤素灯、LED3000K\LED5000K和定制可选。1.5）镜像、倒置、充满窗口和全屏。提供真实软件界面截图。</w:t>
            </w:r>
          </w:p>
          <w:p w14:paraId="190185C8">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色彩调节：色彩校正、红色增益、红色亮度、绿色增益、绿色亮度、蓝色增益、蓝色亮度；复位、显示直方图。直方图用来显示整幅图像或选定ROI区域像素灰度级的分布情况。其横坐标表示图像的灰度级，纵坐标表示每个灰度级对应的像素个数。</w:t>
            </w:r>
          </w:p>
          <w:p w14:paraId="58E2ED83">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高级设置：所有设置在一个窗口完成。3.1）启用滤波。可以选择的滤波有以下几种：反转、灰值化、浮雕、红色、绿色、红色反选、绿色反选、蓝色反选。3.2）边缘检测、调节滑动条来改变检测边缘的灵敏度。3.3）锐化处理：过调整滑动条来调节锐化值。3.4）去除噪声：有1-4种级别可选。3.5）网格、十字准线、比例尺、ROI边框属性、椭圆ROI。3.6）校准、校准标定表。3.7）一键图像校正：预设了针对3种不同显微镜设备、切片的参数值，方便不会调节图像参数的用户。切片放置完毕后，选择对应切片类型或者显微镜设备，点击一键图像校正按钮。图像参数会自动调节成预设的值。提供真实软件界面截图。</w:t>
            </w:r>
          </w:p>
          <w:p w14:paraId="1C0CBA93">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4）可以在动态成像模块中显示物镜的倍数。拍照后在图片右上角会显示当时物镜的倍数。</w:t>
            </w:r>
          </w:p>
          <w:p w14:paraId="7A1BDB2A">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5）视频捕捉：可以进行拍照、自动拍照、触发拍照、录像和时间戳。</w:t>
            </w:r>
          </w:p>
          <w:p w14:paraId="219F2D3C">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6）测量：可以进行静态图像测量和动态图像测量。</w:t>
            </w:r>
          </w:p>
        </w:tc>
        <w:tc>
          <w:tcPr>
            <w:tcW w:w="754" w:type="dxa"/>
            <w:vAlign w:val="center"/>
          </w:tcPr>
          <w:p w14:paraId="63B0E394">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32</w:t>
            </w:r>
          </w:p>
        </w:tc>
        <w:tc>
          <w:tcPr>
            <w:tcW w:w="735" w:type="dxa"/>
            <w:vAlign w:val="center"/>
          </w:tcPr>
          <w:p w14:paraId="45D3B296">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套</w:t>
            </w:r>
          </w:p>
        </w:tc>
        <w:tc>
          <w:tcPr>
            <w:tcW w:w="1320" w:type="dxa"/>
            <w:vAlign w:val="center"/>
          </w:tcPr>
          <w:p w14:paraId="783817E4">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190</w:t>
            </w:r>
            <w:r>
              <w:rPr>
                <w:rFonts w:hint="eastAsia" w:asciiTheme="majorEastAsia" w:hAnsiTheme="majorEastAsia" w:eastAsiaTheme="majorEastAsia" w:cstheme="majorEastAsia"/>
                <w:b w:val="0"/>
                <w:bCs w:val="0"/>
                <w:color w:val="auto"/>
                <w:sz w:val="24"/>
                <w:szCs w:val="24"/>
              </w:rPr>
              <w:t>00</w:t>
            </w:r>
          </w:p>
        </w:tc>
        <w:tc>
          <w:tcPr>
            <w:tcW w:w="1252" w:type="dxa"/>
            <w:vAlign w:val="center"/>
          </w:tcPr>
          <w:p w14:paraId="07AF3597">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608000</w:t>
            </w:r>
          </w:p>
        </w:tc>
      </w:tr>
      <w:tr w14:paraId="6BFE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822" w:type="dxa"/>
            <w:vAlign w:val="center"/>
          </w:tcPr>
          <w:p w14:paraId="0D199110">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2</w:t>
            </w:r>
          </w:p>
        </w:tc>
        <w:tc>
          <w:tcPr>
            <w:tcW w:w="1380" w:type="dxa"/>
            <w:vAlign w:val="center"/>
          </w:tcPr>
          <w:p w14:paraId="60A795CD">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三目4K高清宝石摄影显微镜（含相关配件）</w:t>
            </w:r>
          </w:p>
        </w:tc>
        <w:tc>
          <w:tcPr>
            <w:tcW w:w="3806" w:type="dxa"/>
            <w:shd w:val="clear" w:color="auto" w:fill="auto"/>
            <w:vAlign w:val="center"/>
          </w:tcPr>
          <w:p w14:paraId="08D7B210">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教师展示宝石包裹体特征</w:t>
            </w:r>
          </w:p>
          <w:p w14:paraId="717BC84F">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一、摄像系统要求：</w:t>
            </w:r>
          </w:p>
          <w:p w14:paraId="064C61CC">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1）传感器尺寸:2/3"CMOS,分辨率:5M,成像区域（对角线）:11.1mm.</w:t>
            </w:r>
          </w:p>
          <w:p w14:paraId="4AE0ADE4">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2）像素尺寸:3.45µm x 3.45µm</w:t>
            </w:r>
          </w:p>
          <w:p w14:paraId="070D86DC">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3）实时显示模式（通过USB）:2448x2048 @ 69.3fps,1224 x</w:t>
            </w:r>
            <w:r>
              <w:rPr>
                <w:rFonts w:hint="eastAsia" w:asciiTheme="majorEastAsia" w:hAnsiTheme="majorEastAsia" w:eastAsiaTheme="majorEastAsia" w:cstheme="majorEastAsia"/>
                <w:b w:val="0"/>
                <w:bCs w:val="0"/>
                <w:color w:val="auto"/>
                <w:kern w:val="2"/>
                <w:sz w:val="24"/>
                <w:szCs w:val="24"/>
                <w:lang w:val="en-US" w:eastAsia="zh-CN" w:bidi="ar-SA"/>
              </w:rPr>
              <w:fldChar w:fldCharType="begin"/>
            </w:r>
            <w:r>
              <w:rPr>
                <w:rFonts w:hint="eastAsia" w:asciiTheme="majorEastAsia" w:hAnsiTheme="majorEastAsia" w:eastAsiaTheme="majorEastAsia" w:cstheme="majorEastAsia"/>
                <w:b w:val="0"/>
                <w:bCs w:val="0"/>
                <w:color w:val="auto"/>
                <w:kern w:val="2"/>
                <w:sz w:val="24"/>
                <w:szCs w:val="24"/>
                <w:lang w:val="en-US" w:eastAsia="zh-CN" w:bidi="ar-SA"/>
              </w:rPr>
              <w:instrText xml:space="preserve"> HYPERLINK "mailto:1024@175.8fps" </w:instrText>
            </w:r>
            <w:r>
              <w:rPr>
                <w:rFonts w:hint="eastAsia" w:asciiTheme="majorEastAsia" w:hAnsiTheme="majorEastAsia" w:eastAsiaTheme="majorEastAsia" w:cstheme="majorEastAsia"/>
                <w:b w:val="0"/>
                <w:bCs w:val="0"/>
                <w:color w:val="auto"/>
                <w:kern w:val="2"/>
                <w:sz w:val="24"/>
                <w:szCs w:val="24"/>
                <w:lang w:val="en-US" w:eastAsia="zh-CN" w:bidi="ar-SA"/>
              </w:rPr>
              <w:fldChar w:fldCharType="separate"/>
            </w:r>
            <w:r>
              <w:rPr>
                <w:rFonts w:hint="eastAsia" w:asciiTheme="majorEastAsia" w:hAnsiTheme="majorEastAsia" w:eastAsiaTheme="majorEastAsia" w:cstheme="majorEastAsia"/>
                <w:b w:val="0"/>
                <w:bCs w:val="0"/>
                <w:color w:val="auto"/>
                <w:kern w:val="2"/>
                <w:sz w:val="24"/>
                <w:szCs w:val="24"/>
                <w:lang w:val="en-US" w:eastAsia="zh-CN" w:bidi="ar-SA"/>
              </w:rPr>
              <w:t>1024@175.8fps</w:t>
            </w:r>
            <w:r>
              <w:rPr>
                <w:rFonts w:hint="eastAsia" w:asciiTheme="majorEastAsia" w:hAnsiTheme="majorEastAsia" w:eastAsiaTheme="majorEastAsia" w:cstheme="majorEastAsia"/>
                <w:b w:val="0"/>
                <w:bCs w:val="0"/>
                <w:color w:val="auto"/>
                <w:kern w:val="2"/>
                <w:sz w:val="24"/>
                <w:szCs w:val="24"/>
                <w:lang w:val="en-US" w:eastAsia="zh-CN" w:bidi="ar-SA"/>
              </w:rPr>
              <w:fldChar w:fldCharType="end"/>
            </w:r>
          </w:p>
          <w:p w14:paraId="6E59A54E">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4）扫描方式:进行式</w:t>
            </w:r>
          </w:p>
          <w:p w14:paraId="60D99A12">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5）快门模式:全局快门</w:t>
            </w:r>
          </w:p>
          <w:p w14:paraId="0F1EED6E">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6）数据传输:USB3.1</w:t>
            </w:r>
          </w:p>
          <w:p w14:paraId="19419C20">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7）曝光时间:7us~ 2 sec</w:t>
            </w:r>
          </w:p>
          <w:p w14:paraId="440FD3C9">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8）可聚焦透镜:16mm</w:t>
            </w:r>
          </w:p>
          <w:p w14:paraId="565B591F">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9）功耗:小于1.5W@ 5V</w:t>
            </w:r>
          </w:p>
          <w:p w14:paraId="209C6DB1">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10）支撑装置:Twain、SDK和DirectShow驱动程序</w:t>
            </w:r>
          </w:p>
          <w:p w14:paraId="3F6AADF1">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支持的操作系统（推荐）Microsoft Windows7/8/10、Mac OSx10.9和Linux</w:t>
            </w:r>
          </w:p>
          <w:p w14:paraId="312041CB">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11）最低计算机要求（推荐）：2GHz双核、RAM内存2GB和视频内存最小512MB</w:t>
            </w:r>
          </w:p>
          <w:p w14:paraId="1F883D19">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12）工作温度:从-10到+60摄氏度，无冷凝</w:t>
            </w:r>
          </w:p>
          <w:p w14:paraId="0BCDA039">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13）套餐包括:CS环形转接器，可调焦透镜，30毫米和38毫米目镜转接器，USB3.1电缆，1.校准滑块，适用于PC/OSX/Linux的Macro TubeMotic ImagePlus 3.0 </w:t>
            </w:r>
          </w:p>
          <w:p w14:paraId="1CF5796A">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14）物镜2X，WD=34.5mm</w:t>
            </w:r>
          </w:p>
          <w:p w14:paraId="719E336B">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15）360D体视3D旋转观察器，可拉出或推进，分别实现对样品顶部和侧面体视观察，360°全方位30°倾斜观察、55mm的操作空间。</w:t>
            </w:r>
          </w:p>
          <w:p w14:paraId="60C06656">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16）上照明：96颗高亮度LED提供照明，色温5000-5500K，内置高透散射板，实现完美散射照明，照明柔和均匀，照明亮度可调。</w:t>
            </w:r>
          </w:p>
          <w:p w14:paraId="2543A185">
            <w:pPr>
              <w:autoSpaceDE w:val="0"/>
              <w:autoSpaceDN w:val="0"/>
              <w:adjustRightInd w:val="0"/>
              <w:snapToGrid w:val="0"/>
              <w:jc w:val="both"/>
              <w:textAlignment w:val="center"/>
              <w:rPr>
                <w:rFonts w:hint="default"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 xml:space="preserve">二、教师显示终端：  </w:t>
            </w:r>
          </w:p>
          <w:p w14:paraId="754581BF">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1）显示屏为23.8英寸，FHD1920x1080，具备摄像头、GTX1650独立显卡、处理器为i7-10700 (8核</w:t>
            </w:r>
            <w:r>
              <w:rPr>
                <w:rFonts w:hint="default" w:asciiTheme="majorEastAsia" w:hAnsiTheme="majorEastAsia" w:eastAsiaTheme="majorEastAsia" w:cstheme="majorEastAsia"/>
                <w:b w:val="0"/>
                <w:bCs w:val="0"/>
                <w:color w:val="auto"/>
                <w:kern w:val="2"/>
                <w:sz w:val="24"/>
                <w:szCs w:val="24"/>
                <w:lang w:val="en-US" w:eastAsia="zh-CN" w:bidi="ar-SA"/>
              </w:rPr>
              <w:t xml:space="preserve">, 16MB </w:t>
            </w:r>
            <w:r>
              <w:rPr>
                <w:rFonts w:hint="eastAsia" w:asciiTheme="majorEastAsia" w:hAnsiTheme="majorEastAsia" w:eastAsiaTheme="majorEastAsia" w:cstheme="majorEastAsia"/>
                <w:b w:val="0"/>
                <w:bCs w:val="0"/>
                <w:color w:val="auto"/>
                <w:kern w:val="2"/>
                <w:sz w:val="24"/>
                <w:szCs w:val="24"/>
                <w:lang w:val="en-US" w:eastAsia="zh-CN" w:bidi="ar-SA"/>
              </w:rPr>
              <w:t>缓存</w:t>
            </w:r>
            <w:r>
              <w:rPr>
                <w:rFonts w:hint="default" w:asciiTheme="majorEastAsia" w:hAnsiTheme="majorEastAsia" w:eastAsiaTheme="majorEastAsia" w:cstheme="majorEastAsia"/>
                <w:b w:val="0"/>
                <w:bCs w:val="0"/>
                <w:color w:val="auto"/>
                <w:kern w:val="2"/>
                <w:sz w:val="24"/>
                <w:szCs w:val="24"/>
                <w:lang w:val="en-US" w:eastAsia="zh-CN" w:bidi="ar-SA"/>
              </w:rPr>
              <w:t xml:space="preserve">, 2.9GHz </w:t>
            </w:r>
            <w:r>
              <w:rPr>
                <w:rFonts w:hint="eastAsia" w:asciiTheme="majorEastAsia" w:hAnsiTheme="majorEastAsia" w:eastAsiaTheme="majorEastAsia" w:cstheme="majorEastAsia"/>
                <w:b w:val="0"/>
                <w:bCs w:val="0"/>
                <w:color w:val="auto"/>
                <w:kern w:val="2"/>
                <w:sz w:val="24"/>
                <w:szCs w:val="24"/>
                <w:lang w:val="en-US" w:eastAsia="zh-CN" w:bidi="ar-SA"/>
              </w:rPr>
              <w:t xml:space="preserve">至 </w:t>
            </w:r>
            <w:r>
              <w:rPr>
                <w:rFonts w:hint="default" w:asciiTheme="majorEastAsia" w:hAnsiTheme="majorEastAsia" w:eastAsiaTheme="majorEastAsia" w:cstheme="majorEastAsia"/>
                <w:b w:val="0"/>
                <w:bCs w:val="0"/>
                <w:color w:val="auto"/>
                <w:kern w:val="2"/>
                <w:sz w:val="24"/>
                <w:szCs w:val="24"/>
                <w:lang w:val="en-US" w:eastAsia="zh-CN" w:bidi="ar-SA"/>
              </w:rPr>
              <w:t>4.8GHz, 65W)</w:t>
            </w:r>
            <w:r>
              <w:rPr>
                <w:rFonts w:hint="eastAsia" w:asciiTheme="majorEastAsia" w:hAnsiTheme="majorEastAsia" w:eastAsiaTheme="majorEastAsia" w:cstheme="majorEastAsia"/>
                <w:b w:val="0"/>
                <w:bCs w:val="0"/>
                <w:color w:val="auto"/>
                <w:kern w:val="2"/>
                <w:sz w:val="24"/>
                <w:szCs w:val="24"/>
                <w:lang w:val="en-US" w:eastAsia="zh-CN" w:bidi="ar-SA"/>
              </w:rPr>
              <w:t>；支持Windows 10/Linux，内存：16GB (2x8GB) DDR4 非</w:t>
            </w:r>
            <w:r>
              <w:rPr>
                <w:rFonts w:hint="default" w:asciiTheme="majorEastAsia" w:hAnsiTheme="majorEastAsia" w:eastAsiaTheme="majorEastAsia" w:cstheme="majorEastAsia"/>
                <w:b w:val="0"/>
                <w:bCs w:val="0"/>
                <w:color w:val="auto"/>
                <w:kern w:val="2"/>
                <w:sz w:val="24"/>
                <w:szCs w:val="24"/>
                <w:lang w:val="en-US" w:eastAsia="zh-CN" w:bidi="ar-SA"/>
              </w:rPr>
              <w:t xml:space="preserve">-ECC </w:t>
            </w:r>
            <w:r>
              <w:rPr>
                <w:rFonts w:hint="eastAsia" w:asciiTheme="majorEastAsia" w:hAnsiTheme="majorEastAsia" w:eastAsiaTheme="majorEastAsia" w:cstheme="majorEastAsia"/>
                <w:b w:val="0"/>
                <w:bCs w:val="0"/>
                <w:color w:val="auto"/>
                <w:kern w:val="2"/>
                <w:sz w:val="24"/>
                <w:szCs w:val="24"/>
                <w:lang w:val="en-US" w:eastAsia="zh-CN" w:bidi="ar-SA"/>
              </w:rPr>
              <w:t xml:space="preserve">内存 ，硬盘：2.5 英寸 </w:t>
            </w:r>
            <w:r>
              <w:rPr>
                <w:rFonts w:hint="default" w:asciiTheme="majorEastAsia" w:hAnsiTheme="majorEastAsia" w:eastAsiaTheme="majorEastAsia" w:cstheme="majorEastAsia"/>
                <w:b w:val="0"/>
                <w:bCs w:val="0"/>
                <w:color w:val="auto"/>
                <w:kern w:val="2"/>
                <w:sz w:val="24"/>
                <w:szCs w:val="24"/>
                <w:lang w:val="en-US" w:eastAsia="zh-CN" w:bidi="ar-SA"/>
              </w:rPr>
              <w:t xml:space="preserve">2TB 5400rpm SATA </w:t>
            </w:r>
            <w:r>
              <w:rPr>
                <w:rFonts w:hint="eastAsia" w:asciiTheme="majorEastAsia" w:hAnsiTheme="majorEastAsia" w:eastAsiaTheme="majorEastAsia" w:cstheme="majorEastAsia"/>
                <w:b w:val="0"/>
                <w:bCs w:val="0"/>
                <w:color w:val="auto"/>
                <w:kern w:val="2"/>
                <w:sz w:val="24"/>
                <w:szCs w:val="24"/>
                <w:lang w:val="en-US" w:eastAsia="zh-CN" w:bidi="ar-SA"/>
              </w:rPr>
              <w:t>硬盘，4GB/英特尔无线-AC 9560，双频Wi-Fi+蓝牙，OptiPlex 一体式基本支架，无线10键数字键盘含鼠标，预装64位Windows 10操作系统。</w:t>
            </w:r>
          </w:p>
          <w:p w14:paraId="11321A8D">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2）配置两台65寸显示器</w:t>
            </w:r>
          </w:p>
        </w:tc>
        <w:tc>
          <w:tcPr>
            <w:tcW w:w="754" w:type="dxa"/>
            <w:vAlign w:val="center"/>
          </w:tcPr>
          <w:p w14:paraId="7C0C309C">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1</w:t>
            </w:r>
          </w:p>
        </w:tc>
        <w:tc>
          <w:tcPr>
            <w:tcW w:w="735" w:type="dxa"/>
            <w:vAlign w:val="center"/>
          </w:tcPr>
          <w:p w14:paraId="2A504B0C">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套</w:t>
            </w:r>
          </w:p>
        </w:tc>
        <w:tc>
          <w:tcPr>
            <w:tcW w:w="1320" w:type="dxa"/>
            <w:vAlign w:val="center"/>
          </w:tcPr>
          <w:p w14:paraId="62358B63">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92000</w:t>
            </w:r>
          </w:p>
        </w:tc>
        <w:tc>
          <w:tcPr>
            <w:tcW w:w="1252" w:type="dxa"/>
            <w:vAlign w:val="center"/>
          </w:tcPr>
          <w:p w14:paraId="5ACCECB5">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92000</w:t>
            </w:r>
          </w:p>
        </w:tc>
      </w:tr>
      <w:tr w14:paraId="2E92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Align w:val="center"/>
          </w:tcPr>
          <w:p w14:paraId="48858601">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3</w:t>
            </w:r>
          </w:p>
        </w:tc>
        <w:tc>
          <w:tcPr>
            <w:tcW w:w="1380" w:type="dxa"/>
            <w:vAlign w:val="center"/>
          </w:tcPr>
          <w:p w14:paraId="13E459AE">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钻石分级灯(标准专业型)</w:t>
            </w:r>
          </w:p>
        </w:tc>
        <w:tc>
          <w:tcPr>
            <w:tcW w:w="3806" w:type="dxa"/>
            <w:shd w:val="clear" w:color="auto" w:fill="auto"/>
            <w:vAlign w:val="center"/>
          </w:tcPr>
          <w:p w14:paraId="738631C9">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钻石分级专用比色灯</w:t>
            </w:r>
          </w:p>
          <w:p w14:paraId="4B0F40E4">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1)2X15W双管灯</w:t>
            </w:r>
          </w:p>
          <w:p w14:paraId="71BF19D0">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2)400-700nm 连续谱光源</w:t>
            </w:r>
          </w:p>
          <w:p w14:paraId="0D04D9EB">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3)照度：2000lx @30cm</w:t>
            </w:r>
          </w:p>
          <w:p w14:paraId="22EC4AC3">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4)色温 5800K-6600K</w:t>
            </w:r>
          </w:p>
          <w:p w14:paraId="6513615F">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5)光源带镜面反射器</w:t>
            </w:r>
          </w:p>
          <w:p w14:paraId="7CA976B3">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6)保持色温稳定</w:t>
            </w:r>
          </w:p>
          <w:p w14:paraId="4BED333C">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7)三维可调式</w:t>
            </w:r>
          </w:p>
        </w:tc>
        <w:tc>
          <w:tcPr>
            <w:tcW w:w="754" w:type="dxa"/>
            <w:vAlign w:val="center"/>
          </w:tcPr>
          <w:p w14:paraId="07E9447F">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32</w:t>
            </w:r>
          </w:p>
        </w:tc>
        <w:tc>
          <w:tcPr>
            <w:tcW w:w="735" w:type="dxa"/>
            <w:vAlign w:val="center"/>
          </w:tcPr>
          <w:p w14:paraId="14E6C717">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套</w:t>
            </w:r>
          </w:p>
        </w:tc>
        <w:tc>
          <w:tcPr>
            <w:tcW w:w="1320" w:type="dxa"/>
            <w:vAlign w:val="center"/>
          </w:tcPr>
          <w:p w14:paraId="2A721DF7">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1000</w:t>
            </w:r>
          </w:p>
        </w:tc>
        <w:tc>
          <w:tcPr>
            <w:tcW w:w="1252" w:type="dxa"/>
            <w:vAlign w:val="center"/>
          </w:tcPr>
          <w:p w14:paraId="66E311DF">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32000</w:t>
            </w:r>
          </w:p>
        </w:tc>
      </w:tr>
      <w:tr w14:paraId="7004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22" w:type="dxa"/>
            <w:vAlign w:val="center"/>
          </w:tcPr>
          <w:p w14:paraId="28D9F6BA">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4</w:t>
            </w:r>
          </w:p>
        </w:tc>
        <w:tc>
          <w:tcPr>
            <w:tcW w:w="1380" w:type="dxa"/>
            <w:vAlign w:val="center"/>
          </w:tcPr>
          <w:p w14:paraId="07A8DBD8">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宝石10倍放大镜</w:t>
            </w:r>
          </w:p>
        </w:tc>
        <w:tc>
          <w:tcPr>
            <w:tcW w:w="3806" w:type="dxa"/>
            <w:shd w:val="clear" w:color="auto" w:fill="auto"/>
            <w:vAlign w:val="center"/>
          </w:tcPr>
          <w:p w14:paraId="0E263D65">
            <w:pPr>
              <w:pStyle w:val="6"/>
              <w:ind w:left="0" w:leftChars="0" w:firstLine="0" w:firstLineChars="0"/>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10倍，直径18mm，三组合，消色差,像差</w:t>
            </w:r>
          </w:p>
        </w:tc>
        <w:tc>
          <w:tcPr>
            <w:tcW w:w="754" w:type="dxa"/>
            <w:vAlign w:val="center"/>
          </w:tcPr>
          <w:p w14:paraId="5379E350">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3</w:t>
            </w:r>
            <w:r>
              <w:rPr>
                <w:rFonts w:hint="eastAsia" w:asciiTheme="majorEastAsia" w:hAnsiTheme="majorEastAsia" w:eastAsiaTheme="majorEastAsia" w:cstheme="majorEastAsia"/>
                <w:b w:val="0"/>
                <w:bCs w:val="0"/>
                <w:color w:val="auto"/>
                <w:sz w:val="24"/>
                <w:szCs w:val="24"/>
                <w:lang w:val="en-US" w:eastAsia="zh-CN"/>
              </w:rPr>
              <w:t>3</w:t>
            </w:r>
          </w:p>
        </w:tc>
        <w:tc>
          <w:tcPr>
            <w:tcW w:w="735" w:type="dxa"/>
            <w:vAlign w:val="center"/>
          </w:tcPr>
          <w:p w14:paraId="6F1748AD">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个</w:t>
            </w:r>
          </w:p>
        </w:tc>
        <w:tc>
          <w:tcPr>
            <w:tcW w:w="1320" w:type="dxa"/>
            <w:vAlign w:val="center"/>
          </w:tcPr>
          <w:p w14:paraId="6EB02DC7">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100</w:t>
            </w:r>
          </w:p>
        </w:tc>
        <w:tc>
          <w:tcPr>
            <w:tcW w:w="1252" w:type="dxa"/>
            <w:vAlign w:val="center"/>
          </w:tcPr>
          <w:p w14:paraId="0084BCD8">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3300</w:t>
            </w:r>
          </w:p>
        </w:tc>
      </w:tr>
      <w:tr w14:paraId="5F56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22" w:type="dxa"/>
            <w:vAlign w:val="center"/>
          </w:tcPr>
          <w:p w14:paraId="2697C9DF">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5</w:t>
            </w:r>
          </w:p>
        </w:tc>
        <w:tc>
          <w:tcPr>
            <w:tcW w:w="1380" w:type="dxa"/>
            <w:vAlign w:val="center"/>
          </w:tcPr>
          <w:p w14:paraId="2A19C67F">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偏光镜</w:t>
            </w:r>
          </w:p>
        </w:tc>
        <w:tc>
          <w:tcPr>
            <w:tcW w:w="3806" w:type="dxa"/>
            <w:shd w:val="clear" w:color="auto" w:fill="auto"/>
            <w:vAlign w:val="center"/>
          </w:tcPr>
          <w:p w14:paraId="5B82742E">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测试宝石的光性特征</w:t>
            </w:r>
          </w:p>
          <w:p w14:paraId="7B7F0D5D">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1)台式宝石偏光镜用于观察宝石的消光情况，检查宝石多色性；</w:t>
            </w:r>
          </w:p>
          <w:p w14:paraId="19D7080D">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2)偏光镜是一种较简单的仪器，对确定宝石是均质体或是非均质体非常有用，是宝石常规辅助鉴定仪器之一；</w:t>
            </w:r>
          </w:p>
          <w:p w14:paraId="4A2A3AF8">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3)偏光镜由一个装灯的铸件和两个偏振片起偏镜（下），检偏镜（上）所构成，在测试宝石时，首先使上下偏光处于正交位置（视域黑暗）再进行观察；</w:t>
            </w:r>
          </w:p>
          <w:p w14:paraId="5AFB9DD0">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4)偏光镜采用LED型面散射冷光源，大于8000小时使用寿命；</w:t>
            </w:r>
          </w:p>
          <w:p w14:paraId="4D4085BA">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5)偏光度不低于98%，透过率&gt;40%；配有可拆装的旋转载物台；配有大视域干涉球；配有宝石夹座；</w:t>
            </w:r>
          </w:p>
          <w:p w14:paraId="79059307">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6)前置黄色LED光源窗口，可供折射仪等其它仪器使用，独立可插拨输入电线，方便收放。</w:t>
            </w:r>
          </w:p>
        </w:tc>
        <w:tc>
          <w:tcPr>
            <w:tcW w:w="754" w:type="dxa"/>
            <w:vAlign w:val="center"/>
          </w:tcPr>
          <w:p w14:paraId="26865017">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16</w:t>
            </w:r>
          </w:p>
        </w:tc>
        <w:tc>
          <w:tcPr>
            <w:tcW w:w="735" w:type="dxa"/>
            <w:vAlign w:val="center"/>
          </w:tcPr>
          <w:p w14:paraId="12CD006D">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台</w:t>
            </w:r>
          </w:p>
        </w:tc>
        <w:tc>
          <w:tcPr>
            <w:tcW w:w="1320" w:type="dxa"/>
            <w:vAlign w:val="center"/>
          </w:tcPr>
          <w:p w14:paraId="3A4511FF">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500</w:t>
            </w:r>
          </w:p>
        </w:tc>
        <w:tc>
          <w:tcPr>
            <w:tcW w:w="1252" w:type="dxa"/>
            <w:vAlign w:val="center"/>
          </w:tcPr>
          <w:p w14:paraId="08503021">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8000</w:t>
            </w:r>
          </w:p>
        </w:tc>
      </w:tr>
      <w:tr w14:paraId="6944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22" w:type="dxa"/>
            <w:vAlign w:val="center"/>
          </w:tcPr>
          <w:p w14:paraId="16C55751">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6</w:t>
            </w:r>
          </w:p>
        </w:tc>
        <w:tc>
          <w:tcPr>
            <w:tcW w:w="1380" w:type="dxa"/>
            <w:shd w:val="clear" w:color="auto" w:fill="auto"/>
            <w:vAlign w:val="center"/>
          </w:tcPr>
          <w:p w14:paraId="2DE1A0E1">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宝石折射仪(含折射油)</w:t>
            </w:r>
          </w:p>
        </w:tc>
        <w:tc>
          <w:tcPr>
            <w:tcW w:w="3806" w:type="dxa"/>
            <w:shd w:val="clear" w:color="auto" w:fill="auto"/>
            <w:vAlign w:val="center"/>
          </w:tcPr>
          <w:p w14:paraId="2CDC3DD7">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测试宝石的折射率值</w:t>
            </w:r>
          </w:p>
          <w:p w14:paraId="340D96A9">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1)折射仪用于测定宝玉石琢件折射率的仪器。主要由高折射率棱镜（铅玻璃或立方氧化锆）、棱镜反射镜、透镜、标尺（内标尺或外标尺）和目镜等组成。</w:t>
            </w:r>
          </w:p>
          <w:p w14:paraId="335E4D35">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2)折射仪不仅可测得宝玉石的折射率、双折射率,还可用来判定轴性、光性正负,内置窄波长准单色LED，还可用于测定色散值。</w:t>
            </w:r>
          </w:p>
          <w:p w14:paraId="6FB852DF">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3)高反差标尺；</w:t>
            </w:r>
          </w:p>
          <w:p w14:paraId="3DEA18AA">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4)阴影边界平直清晰；</w:t>
            </w:r>
          </w:p>
          <w:p w14:paraId="6BC86D2E">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5)标尺范围：RI=1.35-1.83；</w:t>
            </w:r>
          </w:p>
          <w:p w14:paraId="06DF6B74">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6)示值误差：≦0.003；</w:t>
            </w:r>
          </w:p>
          <w:p w14:paraId="51894920">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7)立方氧化锆(CZ)高硬度台面，耐磨损；</w:t>
            </w:r>
          </w:p>
          <w:p w14:paraId="107F1763">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8)配589nm单色滤光片；</w:t>
            </w:r>
          </w:p>
          <w:p w14:paraId="7A86A01C">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9)军工级多头螺纹快速调焦系统；</w:t>
            </w:r>
          </w:p>
          <w:p w14:paraId="798805AE">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10)大视域目镜，偏光镜直径20mm；</w:t>
            </w:r>
          </w:p>
          <w:p w14:paraId="3F7B8B24">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11)窄高台面设计，能测镶嵌宝石；</w:t>
            </w:r>
          </w:p>
          <w:p w14:paraId="40D170DE">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12)配折射油（3ml）1瓶</w:t>
            </w:r>
          </w:p>
        </w:tc>
        <w:tc>
          <w:tcPr>
            <w:tcW w:w="754" w:type="dxa"/>
            <w:vAlign w:val="center"/>
          </w:tcPr>
          <w:p w14:paraId="0E0DAF97">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32</w:t>
            </w:r>
          </w:p>
        </w:tc>
        <w:tc>
          <w:tcPr>
            <w:tcW w:w="735" w:type="dxa"/>
            <w:vAlign w:val="center"/>
          </w:tcPr>
          <w:p w14:paraId="77E25F16">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套</w:t>
            </w:r>
          </w:p>
        </w:tc>
        <w:tc>
          <w:tcPr>
            <w:tcW w:w="1320" w:type="dxa"/>
            <w:vAlign w:val="center"/>
          </w:tcPr>
          <w:p w14:paraId="4404A079">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1800</w:t>
            </w:r>
          </w:p>
        </w:tc>
        <w:tc>
          <w:tcPr>
            <w:tcW w:w="1252" w:type="dxa"/>
            <w:vAlign w:val="center"/>
          </w:tcPr>
          <w:p w14:paraId="6D91D022">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57600</w:t>
            </w:r>
          </w:p>
        </w:tc>
      </w:tr>
      <w:tr w14:paraId="64CF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22" w:type="dxa"/>
            <w:vAlign w:val="center"/>
          </w:tcPr>
          <w:p w14:paraId="2C5D7A5C">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7</w:t>
            </w:r>
          </w:p>
        </w:tc>
        <w:tc>
          <w:tcPr>
            <w:tcW w:w="1380" w:type="dxa"/>
            <w:shd w:val="clear" w:color="auto" w:fill="auto"/>
            <w:vAlign w:val="center"/>
          </w:tcPr>
          <w:p w14:paraId="31EAEC71">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手持式二色镜</w:t>
            </w:r>
          </w:p>
        </w:tc>
        <w:tc>
          <w:tcPr>
            <w:tcW w:w="3806" w:type="dxa"/>
            <w:shd w:val="clear" w:color="auto" w:fill="auto"/>
            <w:vAlign w:val="center"/>
          </w:tcPr>
          <w:p w14:paraId="692B76D6">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测试宝石的多色性</w:t>
            </w:r>
          </w:p>
          <w:p w14:paraId="36E0077C">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1)手持式二色镜，标准方形窗口；</w:t>
            </w:r>
          </w:p>
          <w:p w14:paraId="56F4AEC0">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2)分光元件为优质冰洲石，防反射光干扰光栏窗口；</w:t>
            </w:r>
          </w:p>
          <w:p w14:paraId="1C0D0535">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3)大视域目镜，无杂散光干扰，具有极高的多色性分辨率；</w:t>
            </w:r>
          </w:p>
          <w:p w14:paraId="49677ECC">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4)采用多边形防滚动设计。</w:t>
            </w:r>
          </w:p>
        </w:tc>
        <w:tc>
          <w:tcPr>
            <w:tcW w:w="754" w:type="dxa"/>
            <w:vAlign w:val="center"/>
          </w:tcPr>
          <w:p w14:paraId="3EA115A0">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32</w:t>
            </w:r>
          </w:p>
        </w:tc>
        <w:tc>
          <w:tcPr>
            <w:tcW w:w="735" w:type="dxa"/>
            <w:vAlign w:val="center"/>
          </w:tcPr>
          <w:p w14:paraId="74C2A04C">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个</w:t>
            </w:r>
          </w:p>
        </w:tc>
        <w:tc>
          <w:tcPr>
            <w:tcW w:w="1320" w:type="dxa"/>
            <w:vAlign w:val="center"/>
          </w:tcPr>
          <w:p w14:paraId="7AB6662C">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350</w:t>
            </w:r>
          </w:p>
        </w:tc>
        <w:tc>
          <w:tcPr>
            <w:tcW w:w="1252" w:type="dxa"/>
            <w:vAlign w:val="center"/>
          </w:tcPr>
          <w:p w14:paraId="1AFD7531">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11200</w:t>
            </w:r>
          </w:p>
        </w:tc>
      </w:tr>
      <w:tr w14:paraId="4A72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5713B5F8">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8</w:t>
            </w:r>
          </w:p>
        </w:tc>
        <w:tc>
          <w:tcPr>
            <w:tcW w:w="1380" w:type="dxa"/>
            <w:vAlign w:val="center"/>
          </w:tcPr>
          <w:p w14:paraId="156A1658">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学生升降椅</w:t>
            </w:r>
          </w:p>
        </w:tc>
        <w:tc>
          <w:tcPr>
            <w:tcW w:w="3806" w:type="dxa"/>
            <w:vAlign w:val="center"/>
          </w:tcPr>
          <w:p w14:paraId="48B1CD8E">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1）靠背材质:实木，背高30cm</w:t>
            </w:r>
          </w:p>
          <w:p w14:paraId="150E9446">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2）座垫材质:高密度海绵，直径40cm</w:t>
            </w:r>
          </w:p>
          <w:p w14:paraId="0DDF16B1">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3）总高68cm</w:t>
            </w:r>
          </w:p>
          <w:p w14:paraId="6D62E51D">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4）可升降43-53cm</w:t>
            </w:r>
          </w:p>
        </w:tc>
        <w:tc>
          <w:tcPr>
            <w:tcW w:w="754" w:type="dxa"/>
            <w:vAlign w:val="center"/>
          </w:tcPr>
          <w:p w14:paraId="62225B6F">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34</w:t>
            </w:r>
          </w:p>
        </w:tc>
        <w:tc>
          <w:tcPr>
            <w:tcW w:w="735" w:type="dxa"/>
            <w:vAlign w:val="center"/>
          </w:tcPr>
          <w:p w14:paraId="2FD36B30">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台</w:t>
            </w:r>
          </w:p>
        </w:tc>
        <w:tc>
          <w:tcPr>
            <w:tcW w:w="1320" w:type="dxa"/>
            <w:vAlign w:val="center"/>
          </w:tcPr>
          <w:p w14:paraId="28BAD0AF">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250</w:t>
            </w:r>
          </w:p>
        </w:tc>
        <w:tc>
          <w:tcPr>
            <w:tcW w:w="1252" w:type="dxa"/>
            <w:vAlign w:val="center"/>
          </w:tcPr>
          <w:p w14:paraId="3F464335">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8500</w:t>
            </w:r>
          </w:p>
        </w:tc>
      </w:tr>
      <w:tr w14:paraId="1CAF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0B2034D7">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9</w:t>
            </w:r>
          </w:p>
        </w:tc>
        <w:tc>
          <w:tcPr>
            <w:tcW w:w="1380" w:type="dxa"/>
            <w:vAlign w:val="center"/>
          </w:tcPr>
          <w:p w14:paraId="69EC4192">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双工位实训桌</w:t>
            </w:r>
          </w:p>
        </w:tc>
        <w:tc>
          <w:tcPr>
            <w:tcW w:w="3806" w:type="dxa"/>
            <w:vAlign w:val="center"/>
          </w:tcPr>
          <w:p w14:paraId="23E651C3">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1）尺寸：1500 mm *725 mm *1000 mm；</w:t>
            </w:r>
          </w:p>
          <w:p w14:paraId="34A5AAD7">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2）桌面及侧板使用25mm高密度纤维板，其余板材用15mm高密度纤维板，整体采用优质五金配件链接。需安装背板，底部需预留3至5个100*100方形出线孔。</w:t>
            </w:r>
          </w:p>
        </w:tc>
        <w:tc>
          <w:tcPr>
            <w:tcW w:w="754" w:type="dxa"/>
            <w:vAlign w:val="center"/>
          </w:tcPr>
          <w:p w14:paraId="548B5E68">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17</w:t>
            </w:r>
          </w:p>
        </w:tc>
        <w:tc>
          <w:tcPr>
            <w:tcW w:w="735" w:type="dxa"/>
            <w:vAlign w:val="center"/>
          </w:tcPr>
          <w:p w14:paraId="5261A227">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台</w:t>
            </w:r>
          </w:p>
        </w:tc>
        <w:tc>
          <w:tcPr>
            <w:tcW w:w="1320" w:type="dxa"/>
            <w:vAlign w:val="center"/>
          </w:tcPr>
          <w:p w14:paraId="54D877FB">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3200</w:t>
            </w:r>
          </w:p>
        </w:tc>
        <w:tc>
          <w:tcPr>
            <w:tcW w:w="1252" w:type="dxa"/>
            <w:vAlign w:val="center"/>
          </w:tcPr>
          <w:p w14:paraId="4BA66F1F">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54400</w:t>
            </w:r>
          </w:p>
        </w:tc>
      </w:tr>
      <w:tr w14:paraId="13D2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1F7C3D5A">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10</w:t>
            </w:r>
          </w:p>
        </w:tc>
        <w:tc>
          <w:tcPr>
            <w:tcW w:w="1380" w:type="dxa"/>
            <w:vAlign w:val="center"/>
          </w:tcPr>
          <w:p w14:paraId="4F5BB81A">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场地改造</w:t>
            </w:r>
          </w:p>
        </w:tc>
        <w:tc>
          <w:tcPr>
            <w:tcW w:w="3806" w:type="dxa"/>
            <w:vAlign w:val="center"/>
          </w:tcPr>
          <w:p w14:paraId="6921336A">
            <w:pPr>
              <w:autoSpaceDE w:val="0"/>
              <w:autoSpaceDN w:val="0"/>
              <w:adjustRightInd w:val="0"/>
              <w:snapToGrid w:val="0"/>
              <w:jc w:val="both"/>
              <w:textAlignment w:val="center"/>
              <w:rPr>
                <w:rFonts w:hint="default"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1)铝方通吊顶：镀锌低碳钢丝吊杆，铝方通配套专用龙骨，咖色橡木铝方通</w:t>
            </w:r>
          </w:p>
          <w:p w14:paraId="2F7E32D5">
            <w:pPr>
              <w:autoSpaceDE w:val="0"/>
              <w:autoSpaceDN w:val="0"/>
              <w:adjustRightInd w:val="0"/>
              <w:snapToGrid w:val="0"/>
              <w:jc w:val="both"/>
              <w:textAlignment w:val="center"/>
              <w:rPr>
                <w:rFonts w:hint="default"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w:t>
            </w:r>
            <w:r>
              <w:rPr>
                <w:rFonts w:hint="default" w:asciiTheme="majorEastAsia" w:hAnsiTheme="majorEastAsia" w:eastAsiaTheme="majorEastAsia" w:cstheme="majorEastAsia"/>
                <w:b w:val="0"/>
                <w:bCs w:val="0"/>
                <w:color w:val="auto"/>
                <w:sz w:val="24"/>
                <w:szCs w:val="24"/>
                <w:lang w:val="en-US" w:eastAsia="zh-CN"/>
              </w:rPr>
              <w:t>石膏板吊顶</w:t>
            </w:r>
            <w:r>
              <w:rPr>
                <w:rFonts w:hint="eastAsia" w:asciiTheme="majorEastAsia" w:hAnsiTheme="majorEastAsia" w:eastAsiaTheme="majorEastAsia" w:cstheme="majorEastAsia"/>
                <w:b w:val="0"/>
                <w:bCs w:val="0"/>
                <w:color w:val="auto"/>
                <w:sz w:val="24"/>
                <w:szCs w:val="24"/>
                <w:lang w:val="en-US" w:eastAsia="zh-CN"/>
              </w:rPr>
              <w:t>：镀锌低碳钢丝吊杆，轻钢龙骨基层，专用嵌缝膏嵌缝，满刷防潮涂料</w:t>
            </w:r>
          </w:p>
          <w:p w14:paraId="7CA8D150">
            <w:pPr>
              <w:autoSpaceDE w:val="0"/>
              <w:autoSpaceDN w:val="0"/>
              <w:adjustRightInd w:val="0"/>
              <w:snapToGrid w:val="0"/>
              <w:jc w:val="both"/>
              <w:textAlignment w:val="center"/>
              <w:rPr>
                <w:rFonts w:hint="default"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w:t>
            </w:r>
            <w:r>
              <w:rPr>
                <w:rFonts w:hint="default" w:asciiTheme="majorEastAsia" w:hAnsiTheme="majorEastAsia" w:eastAsiaTheme="majorEastAsia" w:cstheme="majorEastAsia"/>
                <w:b w:val="0"/>
                <w:bCs w:val="0"/>
                <w:color w:val="auto"/>
                <w:sz w:val="24"/>
                <w:szCs w:val="24"/>
                <w:lang w:val="en-US" w:eastAsia="zh-CN"/>
              </w:rPr>
              <w:t>腻子及乳胶漆</w:t>
            </w:r>
            <w:r>
              <w:rPr>
                <w:rFonts w:hint="eastAsia" w:asciiTheme="majorEastAsia" w:hAnsiTheme="majorEastAsia" w:eastAsiaTheme="majorEastAsia" w:cstheme="majorEastAsia"/>
                <w:b w:val="0"/>
                <w:bCs w:val="0"/>
                <w:color w:val="auto"/>
                <w:sz w:val="24"/>
                <w:szCs w:val="24"/>
                <w:lang w:val="en-US" w:eastAsia="zh-CN"/>
              </w:rPr>
              <w:t>：专用嵌缝膏嵌缝，接缝处贴嵌缝带，刮腻子找平，乳胶漆一遍</w:t>
            </w:r>
          </w:p>
          <w:p w14:paraId="2993965B">
            <w:pPr>
              <w:autoSpaceDE w:val="0"/>
              <w:autoSpaceDN w:val="0"/>
              <w:adjustRightInd w:val="0"/>
              <w:snapToGrid w:val="0"/>
              <w:jc w:val="both"/>
              <w:textAlignment w:val="center"/>
              <w:rPr>
                <w:rFonts w:hint="default"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4)</w:t>
            </w:r>
            <w:r>
              <w:rPr>
                <w:rFonts w:hint="default" w:asciiTheme="majorEastAsia" w:hAnsiTheme="majorEastAsia" w:eastAsiaTheme="majorEastAsia" w:cstheme="majorEastAsia"/>
                <w:b w:val="0"/>
                <w:bCs w:val="0"/>
                <w:color w:val="auto"/>
                <w:sz w:val="24"/>
                <w:szCs w:val="24"/>
                <w:lang w:val="en-US" w:eastAsia="zh-CN"/>
              </w:rPr>
              <w:t>筒灯安装</w:t>
            </w:r>
            <w:r>
              <w:rPr>
                <w:rFonts w:hint="eastAsia" w:asciiTheme="majorEastAsia" w:hAnsiTheme="majorEastAsia" w:eastAsiaTheme="majorEastAsia" w:cstheme="majorEastAsia"/>
                <w:b w:val="0"/>
                <w:bCs w:val="0"/>
                <w:color w:val="auto"/>
                <w:sz w:val="24"/>
                <w:szCs w:val="24"/>
                <w:lang w:val="en-US" w:eastAsia="zh-CN"/>
              </w:rPr>
              <w:t>：灯带型式、瓦筒灯，石膏板开孔</w:t>
            </w:r>
          </w:p>
          <w:p w14:paraId="4258401D">
            <w:pPr>
              <w:autoSpaceDE w:val="0"/>
              <w:autoSpaceDN w:val="0"/>
              <w:adjustRightInd w:val="0"/>
              <w:snapToGrid w:val="0"/>
              <w:jc w:val="both"/>
              <w:textAlignment w:val="center"/>
              <w:rPr>
                <w:rFonts w:hint="default"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5)</w:t>
            </w:r>
            <w:r>
              <w:rPr>
                <w:rFonts w:hint="default" w:asciiTheme="majorEastAsia" w:hAnsiTheme="majorEastAsia" w:eastAsiaTheme="majorEastAsia" w:cstheme="majorEastAsia"/>
                <w:b w:val="0"/>
                <w:bCs w:val="0"/>
                <w:color w:val="auto"/>
                <w:sz w:val="24"/>
                <w:szCs w:val="24"/>
                <w:lang w:val="en-US" w:eastAsia="zh-CN"/>
              </w:rPr>
              <w:t>平板灯安装</w:t>
            </w:r>
            <w:r>
              <w:rPr>
                <w:rFonts w:hint="eastAsia" w:asciiTheme="majorEastAsia" w:hAnsiTheme="majorEastAsia" w:eastAsiaTheme="majorEastAsia" w:cstheme="majorEastAsia"/>
                <w:b w:val="0"/>
                <w:bCs w:val="0"/>
                <w:color w:val="auto"/>
                <w:sz w:val="24"/>
                <w:szCs w:val="24"/>
                <w:lang w:val="en-US" w:eastAsia="zh-CN"/>
              </w:rPr>
              <w:t>：灯带型式、平板灯</w:t>
            </w:r>
          </w:p>
          <w:p w14:paraId="02807E6A">
            <w:pPr>
              <w:autoSpaceDE w:val="0"/>
              <w:autoSpaceDN w:val="0"/>
              <w:adjustRightInd w:val="0"/>
              <w:snapToGrid w:val="0"/>
              <w:jc w:val="both"/>
              <w:textAlignment w:val="center"/>
              <w:rPr>
                <w:rFonts w:hint="default"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6)</w:t>
            </w:r>
            <w:r>
              <w:rPr>
                <w:rFonts w:hint="default" w:asciiTheme="majorEastAsia" w:hAnsiTheme="majorEastAsia" w:eastAsiaTheme="majorEastAsia" w:cstheme="majorEastAsia"/>
                <w:b w:val="0"/>
                <w:bCs w:val="0"/>
                <w:color w:val="auto"/>
                <w:sz w:val="24"/>
                <w:szCs w:val="24"/>
                <w:lang w:val="en-US" w:eastAsia="zh-CN"/>
              </w:rPr>
              <w:t>墙面洞洞板安装</w:t>
            </w:r>
            <w:r>
              <w:rPr>
                <w:rFonts w:hint="eastAsia" w:asciiTheme="majorEastAsia" w:hAnsiTheme="majorEastAsia" w:eastAsiaTheme="majorEastAsia" w:cstheme="majorEastAsia"/>
                <w:b w:val="0"/>
                <w:bCs w:val="0"/>
                <w:color w:val="auto"/>
                <w:sz w:val="24"/>
                <w:szCs w:val="24"/>
                <w:lang w:val="en-US" w:eastAsia="zh-CN"/>
              </w:rPr>
              <w:t>：走廊一侧墙面，厚阻燃板，厚洞洞板，专用嵌缝膏嵌缝</w:t>
            </w:r>
          </w:p>
          <w:p w14:paraId="72B5C01E">
            <w:pPr>
              <w:autoSpaceDE w:val="0"/>
              <w:autoSpaceDN w:val="0"/>
              <w:adjustRightInd w:val="0"/>
              <w:snapToGrid w:val="0"/>
              <w:jc w:val="both"/>
              <w:textAlignment w:val="center"/>
              <w:rPr>
                <w:rFonts w:hint="default"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7)</w:t>
            </w:r>
            <w:r>
              <w:rPr>
                <w:rFonts w:hint="default" w:asciiTheme="majorEastAsia" w:hAnsiTheme="majorEastAsia" w:eastAsiaTheme="majorEastAsia" w:cstheme="majorEastAsia"/>
                <w:b w:val="0"/>
                <w:bCs w:val="0"/>
                <w:color w:val="auto"/>
                <w:sz w:val="24"/>
                <w:szCs w:val="24"/>
                <w:lang w:val="en-US" w:eastAsia="zh-CN"/>
              </w:rPr>
              <w:t>墙面装饰</w:t>
            </w:r>
            <w:r>
              <w:rPr>
                <w:rFonts w:hint="eastAsia" w:asciiTheme="majorEastAsia" w:hAnsiTheme="majorEastAsia" w:eastAsiaTheme="majorEastAsia" w:cstheme="majorEastAsia"/>
                <w:b w:val="0"/>
                <w:bCs w:val="0"/>
                <w:color w:val="auto"/>
                <w:sz w:val="24"/>
                <w:szCs w:val="24"/>
                <w:lang w:val="en-US" w:eastAsia="zh-CN"/>
              </w:rPr>
              <w:t>：两间教室背墙</w:t>
            </w:r>
          </w:p>
          <w:p w14:paraId="57496838">
            <w:pPr>
              <w:autoSpaceDE w:val="0"/>
              <w:autoSpaceDN w:val="0"/>
              <w:adjustRightInd w:val="0"/>
              <w:snapToGrid w:val="0"/>
              <w:jc w:val="both"/>
              <w:textAlignment w:val="center"/>
              <w:rPr>
                <w:rFonts w:hint="default"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8)</w:t>
            </w:r>
            <w:r>
              <w:rPr>
                <w:rFonts w:hint="default" w:asciiTheme="majorEastAsia" w:hAnsiTheme="majorEastAsia" w:eastAsiaTheme="majorEastAsia" w:cstheme="majorEastAsia"/>
                <w:b w:val="0"/>
                <w:bCs w:val="0"/>
                <w:color w:val="auto"/>
                <w:sz w:val="24"/>
                <w:szCs w:val="24"/>
                <w:lang w:val="en-US" w:eastAsia="zh-CN"/>
              </w:rPr>
              <w:t>置物柜</w:t>
            </w:r>
            <w:r>
              <w:rPr>
                <w:rFonts w:hint="eastAsia" w:asciiTheme="majorEastAsia" w:hAnsiTheme="majorEastAsia" w:eastAsiaTheme="majorEastAsia" w:cstheme="majorEastAsia"/>
                <w:b w:val="0"/>
                <w:bCs w:val="0"/>
                <w:color w:val="auto"/>
                <w:sz w:val="24"/>
                <w:szCs w:val="24"/>
                <w:lang w:val="en-US" w:eastAsia="zh-CN"/>
              </w:rPr>
              <w:t>：窗户下侧矮柜</w:t>
            </w:r>
          </w:p>
          <w:p w14:paraId="3A6664B9">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9)</w:t>
            </w:r>
            <w:r>
              <w:rPr>
                <w:rFonts w:hint="default" w:asciiTheme="majorEastAsia" w:hAnsiTheme="majorEastAsia" w:eastAsiaTheme="majorEastAsia" w:cstheme="majorEastAsia"/>
                <w:b w:val="0"/>
                <w:bCs w:val="0"/>
                <w:color w:val="auto"/>
                <w:sz w:val="24"/>
                <w:szCs w:val="24"/>
                <w:lang w:val="en-US" w:eastAsia="zh-CN"/>
              </w:rPr>
              <w:t>地毯铺设</w:t>
            </w:r>
            <w:r>
              <w:rPr>
                <w:rFonts w:hint="eastAsia" w:asciiTheme="majorEastAsia" w:hAnsiTheme="majorEastAsia" w:eastAsiaTheme="majorEastAsia" w:cstheme="majorEastAsia"/>
                <w:b w:val="0"/>
                <w:bCs w:val="0"/>
                <w:color w:val="auto"/>
                <w:sz w:val="24"/>
                <w:szCs w:val="24"/>
                <w:lang w:val="en-US" w:eastAsia="zh-CN"/>
              </w:rPr>
              <w:t>：原皮雕室地面,铺设成品地毯</w:t>
            </w:r>
          </w:p>
          <w:p w14:paraId="1E166DE9">
            <w:pPr>
              <w:autoSpaceDE w:val="0"/>
              <w:autoSpaceDN w:val="0"/>
              <w:adjustRightInd w:val="0"/>
              <w:snapToGrid w:val="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10)电源</w:t>
            </w:r>
            <w:r>
              <w:rPr>
                <w:rFonts w:hint="default" w:asciiTheme="majorEastAsia" w:hAnsiTheme="majorEastAsia" w:eastAsiaTheme="majorEastAsia" w:cstheme="majorEastAsia"/>
                <w:b w:val="0"/>
                <w:bCs w:val="0"/>
                <w:color w:val="auto"/>
                <w:sz w:val="24"/>
                <w:szCs w:val="24"/>
                <w:lang w:val="en-US" w:eastAsia="zh-CN"/>
              </w:rPr>
              <w:t>线路改造</w:t>
            </w:r>
            <w:r>
              <w:rPr>
                <w:rFonts w:hint="eastAsia" w:asciiTheme="majorEastAsia" w:hAnsiTheme="majorEastAsia" w:eastAsiaTheme="majorEastAsia" w:cstheme="majorEastAsia"/>
                <w:b w:val="0"/>
                <w:bCs w:val="0"/>
                <w:color w:val="auto"/>
                <w:sz w:val="24"/>
                <w:szCs w:val="24"/>
                <w:lang w:val="en-US" w:eastAsia="zh-CN"/>
              </w:rPr>
              <w:t>：局部线路改造</w:t>
            </w:r>
          </w:p>
        </w:tc>
        <w:tc>
          <w:tcPr>
            <w:tcW w:w="754" w:type="dxa"/>
            <w:vAlign w:val="center"/>
          </w:tcPr>
          <w:p w14:paraId="7D7C0891">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w:t>
            </w:r>
          </w:p>
        </w:tc>
        <w:tc>
          <w:tcPr>
            <w:tcW w:w="735" w:type="dxa"/>
            <w:vAlign w:val="center"/>
          </w:tcPr>
          <w:p w14:paraId="0F1DAD32">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间</w:t>
            </w:r>
          </w:p>
        </w:tc>
        <w:tc>
          <w:tcPr>
            <w:tcW w:w="1320" w:type="dxa"/>
            <w:vAlign w:val="center"/>
          </w:tcPr>
          <w:p w14:paraId="0A1AE837">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50000</w:t>
            </w:r>
          </w:p>
        </w:tc>
        <w:tc>
          <w:tcPr>
            <w:tcW w:w="1252" w:type="dxa"/>
            <w:vAlign w:val="center"/>
          </w:tcPr>
          <w:p w14:paraId="3378D616">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50000</w:t>
            </w:r>
          </w:p>
        </w:tc>
      </w:tr>
    </w:tbl>
    <w:p w14:paraId="4FE6E00D">
      <w:pPr>
        <w:pStyle w:val="14"/>
        <w:spacing w:line="360" w:lineRule="auto"/>
        <w:ind w:firstLine="482"/>
        <w:rPr>
          <w:rFonts w:ascii="宋体" w:hAnsi="宋体"/>
          <w:b/>
          <w:bCs/>
          <w:sz w:val="24"/>
          <w:szCs w:val="24"/>
        </w:rPr>
      </w:pPr>
      <w:bookmarkStart w:id="4" w:name="_Toc7303"/>
      <w:r>
        <w:rPr>
          <w:rFonts w:hint="eastAsia" w:ascii="宋体" w:hAnsi="宋体"/>
          <w:b/>
          <w:bCs/>
          <w:sz w:val="24"/>
          <w:szCs w:val="24"/>
        </w:rPr>
        <w:t>（五）供应商资格条件</w:t>
      </w:r>
      <w:bookmarkEnd w:id="4"/>
    </w:p>
    <w:p w14:paraId="5BD7A367">
      <w:pPr>
        <w:widowControl/>
        <w:spacing w:line="360" w:lineRule="auto"/>
        <w:ind w:firstLine="600"/>
        <w:jc w:val="left"/>
        <w:rPr>
          <w:rFonts w:ascii="宋体" w:hAnsi="宋体" w:cs="仿宋"/>
          <w:sz w:val="24"/>
          <w:szCs w:val="24"/>
        </w:rPr>
      </w:pPr>
      <w:r>
        <w:rPr>
          <w:rFonts w:hint="eastAsia" w:ascii="宋体" w:hAnsi="宋体" w:cs="仿宋"/>
          <w:sz w:val="24"/>
          <w:szCs w:val="24"/>
        </w:rPr>
        <w:t>1.基本要求：</w:t>
      </w:r>
    </w:p>
    <w:p w14:paraId="28E6F8F1">
      <w:pPr>
        <w:widowControl/>
        <w:spacing w:line="360" w:lineRule="auto"/>
        <w:ind w:firstLine="600"/>
        <w:jc w:val="left"/>
        <w:rPr>
          <w:rFonts w:ascii="宋体" w:hAnsi="宋体" w:cs="仿宋"/>
          <w:sz w:val="24"/>
          <w:szCs w:val="24"/>
        </w:rPr>
      </w:pPr>
      <w:r>
        <w:rPr>
          <w:rFonts w:hint="eastAsia" w:ascii="宋体" w:hAnsi="宋体" w:cs="仿宋"/>
          <w:sz w:val="24"/>
          <w:szCs w:val="24"/>
        </w:rPr>
        <w:t>满足《中华人民共和国政府采购法》第二十二条规定</w:t>
      </w:r>
    </w:p>
    <w:p w14:paraId="450F6E87">
      <w:pPr>
        <w:widowControl/>
        <w:spacing w:line="360" w:lineRule="auto"/>
        <w:ind w:firstLine="600"/>
        <w:jc w:val="left"/>
        <w:rPr>
          <w:rFonts w:ascii="宋体" w:hAnsi="宋体" w:cs="仿宋"/>
          <w:sz w:val="24"/>
          <w:szCs w:val="24"/>
        </w:rPr>
      </w:pPr>
      <w:r>
        <w:rPr>
          <w:rFonts w:hint="eastAsia" w:ascii="宋体" w:hAnsi="宋体" w:cs="仿宋"/>
          <w:sz w:val="24"/>
          <w:szCs w:val="24"/>
        </w:rPr>
        <w:t>2.特定资格要求：</w:t>
      </w:r>
    </w:p>
    <w:p w14:paraId="2920B346">
      <w:pPr>
        <w:widowControl/>
        <w:spacing w:line="360" w:lineRule="auto"/>
        <w:ind w:firstLine="600"/>
        <w:jc w:val="left"/>
        <w:rPr>
          <w:rFonts w:ascii="宋体" w:hAnsi="宋体" w:cs="仿宋"/>
          <w:sz w:val="24"/>
          <w:szCs w:val="24"/>
        </w:rPr>
      </w:pPr>
      <w:r>
        <w:rPr>
          <w:rFonts w:hint="eastAsia" w:ascii="宋体" w:hAnsi="宋体" w:cs="仿宋"/>
          <w:sz w:val="24"/>
          <w:szCs w:val="24"/>
        </w:rPr>
        <w:t>3.落实政府采购政策的要求：政府强制采购节能产品、支持创新、绿色发展、鼓励环保产品、扶持福利企业、促进残疾人就业、促进中小企业发展、支持监狱和戒毒企业等。</w:t>
      </w:r>
    </w:p>
    <w:p w14:paraId="506A1107">
      <w:pPr>
        <w:pStyle w:val="14"/>
        <w:spacing w:line="360" w:lineRule="auto"/>
        <w:ind w:firstLine="482"/>
        <w:rPr>
          <w:rFonts w:ascii="宋体" w:hAnsi="宋体"/>
          <w:b/>
          <w:bCs/>
          <w:sz w:val="24"/>
          <w:szCs w:val="24"/>
        </w:rPr>
      </w:pPr>
      <w:bookmarkStart w:id="5" w:name="_Toc13060"/>
      <w:r>
        <w:rPr>
          <w:rFonts w:hint="eastAsia" w:ascii="宋体" w:hAnsi="宋体"/>
          <w:b/>
          <w:bCs/>
          <w:sz w:val="24"/>
          <w:szCs w:val="24"/>
        </w:rPr>
        <w:t>（六）采购方式</w:t>
      </w:r>
      <w:bookmarkEnd w:id="5"/>
    </w:p>
    <w:p w14:paraId="5878C5A7">
      <w:pPr>
        <w:widowControl/>
        <w:spacing w:line="360" w:lineRule="auto"/>
        <w:ind w:firstLine="600"/>
        <w:jc w:val="left"/>
        <w:rPr>
          <w:rFonts w:ascii="宋体" w:hAnsi="宋体" w:cs="仿宋"/>
          <w:b/>
          <w:sz w:val="24"/>
          <w:szCs w:val="24"/>
        </w:rPr>
      </w:pPr>
      <w:bookmarkStart w:id="6" w:name="_Toc12064"/>
      <w:r>
        <w:rPr>
          <w:rFonts w:hint="eastAsia" w:ascii="宋体" w:hAnsi="宋体" w:cs="仿宋"/>
          <w:b/>
          <w:sz w:val="24"/>
          <w:szCs w:val="24"/>
          <w:lang w:eastAsia="zh-CN"/>
        </w:rPr>
        <w:t>□</w:t>
      </w:r>
      <w:r>
        <w:rPr>
          <w:rFonts w:hint="eastAsia" w:ascii="宋体" w:hAnsi="宋体" w:cs="仿宋"/>
          <w:b/>
          <w:sz w:val="24"/>
          <w:szCs w:val="24"/>
        </w:rPr>
        <w:t>公开招标（适用法定情形）</w:t>
      </w:r>
    </w:p>
    <w:p w14:paraId="5231D8F8">
      <w:pPr>
        <w:widowControl/>
        <w:spacing w:line="360" w:lineRule="auto"/>
        <w:ind w:firstLine="601"/>
        <w:jc w:val="left"/>
        <w:rPr>
          <w:rFonts w:ascii="宋体" w:hAnsi="宋体" w:cs="仿宋"/>
          <w:sz w:val="24"/>
          <w:szCs w:val="24"/>
        </w:rPr>
      </w:pPr>
      <w:r>
        <w:rPr>
          <w:rFonts w:hint="eastAsia" w:ascii="宋体" w:hAnsi="宋体" w:cs="仿宋"/>
          <w:sz w:val="24"/>
          <w:szCs w:val="24"/>
        </w:rPr>
        <w:t>□达到国家公开招标限额标准的采购项目；</w:t>
      </w:r>
    </w:p>
    <w:p w14:paraId="00BB9FAE">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□采购需求客观、明确且规格、标准统一的采购项目，如通用设备、物业管理等；</w:t>
      </w:r>
    </w:p>
    <w:p w14:paraId="075AB43F">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14:paraId="38EE1E2C">
      <w:pPr>
        <w:widowControl/>
        <w:spacing w:line="360" w:lineRule="auto"/>
        <w:ind w:firstLine="600"/>
        <w:jc w:val="left"/>
        <w:rPr>
          <w:rFonts w:ascii="宋体" w:hAnsi="宋体" w:cs="仿宋"/>
          <w:sz w:val="24"/>
          <w:szCs w:val="24"/>
        </w:rPr>
      </w:pPr>
      <w:r>
        <w:rPr>
          <w:rFonts w:hint="eastAsia" w:ascii="宋体" w:hAnsi="宋体" w:cs="仿宋"/>
          <w:b/>
          <w:sz w:val="24"/>
          <w:szCs w:val="24"/>
          <w:lang w:eastAsia="zh-CN"/>
        </w:rPr>
        <w:t>☑</w:t>
      </w:r>
      <w:r>
        <w:rPr>
          <w:rFonts w:hint="eastAsia" w:ascii="宋体" w:hAnsi="宋体" w:cs="仿宋"/>
          <w:b/>
          <w:sz w:val="24"/>
          <w:szCs w:val="24"/>
        </w:rPr>
        <w:t>竞争性磋商（符合情形）</w:t>
      </w:r>
    </w:p>
    <w:p w14:paraId="007766E6">
      <w:pPr>
        <w:widowControl/>
        <w:spacing w:line="360" w:lineRule="auto"/>
        <w:ind w:firstLine="600"/>
        <w:jc w:val="left"/>
        <w:rPr>
          <w:rFonts w:ascii="宋体" w:hAnsi="宋体" w:cs="仿宋"/>
          <w:sz w:val="24"/>
          <w:szCs w:val="24"/>
        </w:rPr>
      </w:pPr>
      <w:r>
        <w:rPr>
          <w:rFonts w:hint="eastAsia" w:ascii="宋体" w:hAnsi="宋体" w:cs="仿宋"/>
          <w:sz w:val="24"/>
          <w:szCs w:val="24"/>
        </w:rPr>
        <w:t>□政府购买服务项目；</w:t>
      </w:r>
    </w:p>
    <w:p w14:paraId="4F1F5993">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技术复杂或者性质特殊，不能确定详细规格或者具体要求的；</w:t>
      </w:r>
    </w:p>
    <w:p w14:paraId="1F767F26">
      <w:pPr>
        <w:widowControl/>
        <w:spacing w:line="360" w:lineRule="auto"/>
        <w:ind w:firstLine="600"/>
        <w:jc w:val="left"/>
        <w:rPr>
          <w:rFonts w:ascii="宋体" w:hAnsi="宋体" w:cs="仿宋"/>
          <w:sz w:val="24"/>
          <w:szCs w:val="24"/>
        </w:rPr>
      </w:pPr>
      <w:r>
        <w:rPr>
          <w:rFonts w:hint="eastAsia" w:ascii="宋体" w:hAnsi="宋体" w:cs="仿宋"/>
          <w:sz w:val="24"/>
          <w:szCs w:val="24"/>
        </w:rPr>
        <w:t>□因艺术品采购、专利、专有技术或者服务的时间、数量事先不能确定等原因不能事先计算出价格总额的；</w:t>
      </w:r>
    </w:p>
    <w:p w14:paraId="094A7B20">
      <w:pPr>
        <w:widowControl/>
        <w:spacing w:line="360" w:lineRule="auto"/>
        <w:ind w:firstLine="600"/>
        <w:jc w:val="left"/>
        <w:rPr>
          <w:rFonts w:ascii="宋体" w:hAnsi="宋体" w:cs="仿宋"/>
          <w:sz w:val="24"/>
          <w:szCs w:val="24"/>
        </w:rPr>
      </w:pPr>
      <w:r>
        <w:rPr>
          <w:rFonts w:hint="eastAsia" w:ascii="宋体" w:hAnsi="宋体" w:cs="仿宋"/>
          <w:sz w:val="24"/>
          <w:szCs w:val="24"/>
        </w:rPr>
        <w:t>□市场竞争不充分的科研项目，以及需要扶持的科技成果转化项目；</w:t>
      </w:r>
    </w:p>
    <w:p w14:paraId="4AC9A51E">
      <w:pPr>
        <w:widowControl/>
        <w:spacing w:line="360" w:lineRule="auto"/>
        <w:ind w:firstLine="600"/>
        <w:jc w:val="left"/>
        <w:rPr>
          <w:rFonts w:ascii="宋体" w:hAnsi="宋体" w:cs="仿宋"/>
          <w:sz w:val="24"/>
          <w:szCs w:val="24"/>
        </w:rPr>
      </w:pPr>
      <w:r>
        <w:rPr>
          <w:rFonts w:hint="eastAsia" w:ascii="宋体" w:hAnsi="宋体" w:cs="仿宋"/>
          <w:sz w:val="24"/>
          <w:szCs w:val="24"/>
        </w:rPr>
        <w:t>□按照招标投标法及其实施条例必须进行招标的工程建设项目以外的工程建设项目。</w:t>
      </w:r>
    </w:p>
    <w:p w14:paraId="62E6669C">
      <w:pPr>
        <w:widowControl/>
        <w:spacing w:line="360" w:lineRule="auto"/>
        <w:ind w:firstLine="600"/>
        <w:jc w:val="left"/>
        <w:rPr>
          <w:rFonts w:ascii="宋体" w:hAnsi="宋体" w:cs="仿宋"/>
          <w:b/>
          <w:sz w:val="24"/>
          <w:szCs w:val="24"/>
        </w:rPr>
      </w:pPr>
      <w:r>
        <w:rPr>
          <w:rFonts w:hint="eastAsia" w:ascii="宋体" w:hAnsi="宋体" w:cs="仿宋"/>
          <w:b/>
          <w:sz w:val="24"/>
          <w:szCs w:val="24"/>
        </w:rPr>
        <w:t>□竞争性谈判（适用情形）</w:t>
      </w:r>
    </w:p>
    <w:p w14:paraId="6B1591D2">
      <w:pPr>
        <w:widowControl/>
        <w:spacing w:line="360" w:lineRule="auto"/>
        <w:ind w:firstLine="600"/>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14:paraId="0FE3216C">
      <w:pPr>
        <w:widowControl/>
        <w:spacing w:line="360" w:lineRule="auto"/>
        <w:ind w:firstLine="600"/>
        <w:jc w:val="left"/>
        <w:rPr>
          <w:rFonts w:ascii="宋体" w:hAnsi="宋体" w:cs="仿宋"/>
          <w:sz w:val="24"/>
          <w:szCs w:val="24"/>
        </w:rPr>
      </w:pPr>
      <w:r>
        <w:rPr>
          <w:rFonts w:hint="eastAsia" w:ascii="宋体" w:hAnsi="宋体" w:cs="仿宋"/>
          <w:sz w:val="24"/>
          <w:szCs w:val="24"/>
        </w:rPr>
        <w:t>□不能完全确定客观指标，需由供应商提供设计方案、解决方案或者组织方案的采购项目，如首购订购、设计服务、政府和社会资本合作等。</w:t>
      </w:r>
    </w:p>
    <w:p w14:paraId="07667877">
      <w:pPr>
        <w:pStyle w:val="14"/>
        <w:spacing w:line="360" w:lineRule="auto"/>
        <w:ind w:firstLine="482"/>
        <w:rPr>
          <w:rFonts w:ascii="宋体" w:hAnsi="宋体" w:cs="仿宋"/>
          <w:b/>
          <w:sz w:val="24"/>
          <w:szCs w:val="24"/>
        </w:rPr>
      </w:pPr>
      <w:r>
        <w:rPr>
          <w:rFonts w:hint="eastAsia" w:ascii="宋体" w:hAnsi="宋体"/>
          <w:b/>
          <w:sz w:val="24"/>
          <w:szCs w:val="24"/>
        </w:rPr>
        <w:t>□单一来源</w:t>
      </w:r>
      <w:r>
        <w:rPr>
          <w:rFonts w:hint="eastAsia" w:ascii="宋体" w:hAnsi="宋体" w:cs="仿宋"/>
          <w:b/>
          <w:sz w:val="24"/>
          <w:szCs w:val="24"/>
        </w:rPr>
        <w:t>（适用情形）</w:t>
      </w:r>
    </w:p>
    <w:p w14:paraId="3E09EFA5">
      <w:pPr>
        <w:pStyle w:val="8"/>
        <w:spacing w:before="0" w:beforeAutospacing="0" w:after="0" w:afterAutospacing="0" w:line="360" w:lineRule="auto"/>
        <w:ind w:firstLine="480" w:firstLineChars="200"/>
        <w:jc w:val="both"/>
        <w:textAlignment w:val="baseline"/>
      </w:pPr>
      <w:r>
        <w:rPr>
          <w:rFonts w:hint="eastAsia"/>
        </w:rPr>
        <w:t>□只能从唯一供应商处采购的；</w:t>
      </w:r>
    </w:p>
    <w:p w14:paraId="76FF4FB7">
      <w:pPr>
        <w:pStyle w:val="8"/>
        <w:spacing w:before="0" w:beforeAutospacing="0" w:after="0" w:afterAutospacing="0" w:line="360" w:lineRule="auto"/>
        <w:ind w:firstLine="480" w:firstLineChars="200"/>
        <w:jc w:val="both"/>
        <w:textAlignment w:val="baseline"/>
      </w:pPr>
      <w:r>
        <w:rPr>
          <w:rFonts w:hint="eastAsia"/>
        </w:rPr>
        <w:t>□发生了不可预见的紧急情况不能从其他供应商处采购的；</w:t>
      </w:r>
    </w:p>
    <w:p w14:paraId="27F395F3">
      <w:pPr>
        <w:pStyle w:val="8"/>
        <w:spacing w:before="0" w:beforeAutospacing="0" w:after="0" w:afterAutospacing="0" w:line="360" w:lineRule="auto"/>
        <w:ind w:firstLine="480" w:firstLineChars="200"/>
        <w:jc w:val="both"/>
        <w:textAlignment w:val="baseline"/>
      </w:pPr>
      <w:r>
        <w:rPr>
          <w:rFonts w:hint="eastAsia"/>
        </w:rPr>
        <w:t>□必须保证原有采购项目一致性或者服务配套的要求，需要继续从原供应商处添购，且添购资金总额不超过原合同采购金额百分之十的。</w:t>
      </w:r>
    </w:p>
    <w:p w14:paraId="57EF2196">
      <w:pPr>
        <w:pStyle w:val="14"/>
        <w:spacing w:line="360" w:lineRule="auto"/>
        <w:ind w:firstLine="482"/>
        <w:rPr>
          <w:rFonts w:ascii="宋体" w:hAnsi="宋体"/>
          <w:sz w:val="24"/>
          <w:szCs w:val="24"/>
        </w:rPr>
      </w:pPr>
      <w:bookmarkStart w:id="7" w:name="_Hlk76973202"/>
      <w:r>
        <w:rPr>
          <w:rFonts w:hint="eastAsia" w:ascii="宋体" w:hAnsi="宋体"/>
          <w:b/>
          <w:sz w:val="24"/>
          <w:szCs w:val="24"/>
        </w:rPr>
        <w:t>□</w:t>
      </w:r>
      <w:bookmarkEnd w:id="7"/>
      <w:r>
        <w:rPr>
          <w:rFonts w:hint="eastAsia" w:ascii="宋体" w:hAnsi="宋体"/>
          <w:b/>
          <w:sz w:val="24"/>
          <w:szCs w:val="24"/>
        </w:rPr>
        <w:t>询价（适用情形）：</w:t>
      </w:r>
      <w:r>
        <w:rPr>
          <w:rFonts w:hint="eastAsia" w:ascii="宋体" w:hAnsi="宋体"/>
          <w:sz w:val="24"/>
          <w:szCs w:val="24"/>
        </w:rPr>
        <w:t>采购需求客观、明确且规格、标准统一</w:t>
      </w:r>
      <w:r>
        <w:rPr>
          <w:rFonts w:hint="eastAsia" w:ascii="宋体" w:hAnsi="宋体" w:cs="仿宋"/>
          <w:sz w:val="24"/>
          <w:szCs w:val="24"/>
        </w:rPr>
        <w:t>如通用设备、物业管理等</w:t>
      </w:r>
      <w:r>
        <w:rPr>
          <w:rFonts w:hint="eastAsia" w:ascii="宋体" w:hAnsi="宋体"/>
          <w:sz w:val="24"/>
          <w:szCs w:val="24"/>
        </w:rPr>
        <w:t>。</w:t>
      </w:r>
    </w:p>
    <w:p w14:paraId="27762B57">
      <w:pPr>
        <w:pStyle w:val="14"/>
        <w:spacing w:line="360" w:lineRule="auto"/>
        <w:ind w:firstLine="482"/>
        <w:rPr>
          <w:rFonts w:ascii="宋体" w:hAnsi="宋体"/>
          <w:sz w:val="24"/>
          <w:szCs w:val="24"/>
        </w:rPr>
      </w:pPr>
      <w:r>
        <w:rPr>
          <w:rFonts w:hint="eastAsia" w:ascii="宋体" w:hAnsi="宋体"/>
          <w:b/>
          <w:sz w:val="24"/>
          <w:szCs w:val="24"/>
        </w:rPr>
        <w:t>□核准：</w:t>
      </w:r>
      <w:r>
        <w:rPr>
          <w:rFonts w:hint="eastAsia" w:ascii="宋体" w:hAnsi="宋体"/>
          <w:sz w:val="24"/>
          <w:szCs w:val="24"/>
        </w:rPr>
        <w:t>达到公开招标数额标准，因特殊情况需要采用公开招标以外采购方式，已依法获得批准。</w:t>
      </w:r>
    </w:p>
    <w:p w14:paraId="627B6692">
      <w:pPr>
        <w:pStyle w:val="14"/>
        <w:spacing w:line="360" w:lineRule="auto"/>
        <w:ind w:firstLine="361" w:firstLineChars="150"/>
        <w:rPr>
          <w:rFonts w:ascii="宋体" w:hAnsi="宋体"/>
          <w:b/>
          <w:bCs/>
          <w:sz w:val="24"/>
          <w:szCs w:val="24"/>
        </w:rPr>
      </w:pPr>
      <w:r>
        <w:rPr>
          <w:rFonts w:hint="eastAsia" w:ascii="宋体" w:hAnsi="宋体"/>
          <w:b/>
          <w:bCs/>
          <w:sz w:val="24"/>
          <w:szCs w:val="24"/>
        </w:rPr>
        <w:t>（七）竞争范围</w:t>
      </w:r>
      <w:bookmarkEnd w:id="6"/>
    </w:p>
    <w:p w14:paraId="059B4E4E">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公开邀请</w:t>
      </w:r>
    </w:p>
    <w:p w14:paraId="1BF7960A">
      <w:pPr>
        <w:widowControl/>
        <w:spacing w:line="360" w:lineRule="auto"/>
        <w:ind w:firstLine="600"/>
        <w:jc w:val="left"/>
        <w:rPr>
          <w:rFonts w:ascii="宋体" w:hAnsi="宋体" w:cs="仿宋"/>
          <w:sz w:val="24"/>
          <w:szCs w:val="24"/>
        </w:rPr>
      </w:pPr>
      <w:r>
        <w:rPr>
          <w:rFonts w:hint="eastAsia" w:ascii="宋体" w:hAnsi="宋体" w:cs="仿宋"/>
          <w:sz w:val="24"/>
          <w:szCs w:val="24"/>
        </w:rPr>
        <w:t>□有限邀请（随机</w:t>
      </w:r>
      <w:r>
        <w:rPr>
          <w:rFonts w:ascii="宋体" w:hAnsi="宋体" w:cs="仿宋"/>
          <w:sz w:val="24"/>
          <w:szCs w:val="24"/>
        </w:rPr>
        <w:t>抽取或书面推荐</w:t>
      </w:r>
      <w:r>
        <w:rPr>
          <w:rFonts w:hint="eastAsia" w:ascii="宋体" w:hAnsi="宋体" w:cs="仿宋"/>
          <w:sz w:val="24"/>
          <w:szCs w:val="24"/>
        </w:rPr>
        <w:t>）</w:t>
      </w:r>
    </w:p>
    <w:p w14:paraId="42CAF29F">
      <w:pPr>
        <w:widowControl/>
        <w:spacing w:line="360" w:lineRule="auto"/>
        <w:ind w:firstLine="600"/>
        <w:jc w:val="left"/>
        <w:rPr>
          <w:rFonts w:ascii="宋体" w:hAnsi="宋体" w:cs="仿宋"/>
          <w:sz w:val="24"/>
          <w:szCs w:val="24"/>
        </w:rPr>
      </w:pPr>
      <w:r>
        <w:rPr>
          <w:rFonts w:hint="eastAsia" w:ascii="宋体" w:hAnsi="宋体" w:cs="仿宋"/>
          <w:sz w:val="24"/>
          <w:szCs w:val="24"/>
        </w:rPr>
        <w:t>□唯一供应商采购</w:t>
      </w:r>
    </w:p>
    <w:p w14:paraId="39E0FB9E">
      <w:pPr>
        <w:pStyle w:val="14"/>
        <w:spacing w:line="360" w:lineRule="auto"/>
        <w:ind w:firstLine="482"/>
        <w:rPr>
          <w:rFonts w:ascii="宋体" w:hAnsi="宋体"/>
          <w:b/>
          <w:bCs/>
          <w:sz w:val="24"/>
          <w:szCs w:val="24"/>
        </w:rPr>
      </w:pPr>
      <w:bookmarkStart w:id="8" w:name="_Toc6783"/>
      <w:r>
        <w:rPr>
          <w:rFonts w:hint="eastAsia" w:ascii="宋体" w:hAnsi="宋体"/>
          <w:b/>
          <w:bCs/>
          <w:sz w:val="24"/>
          <w:szCs w:val="24"/>
        </w:rPr>
        <w:t>（八）评审规则</w:t>
      </w:r>
      <w:bookmarkEnd w:id="8"/>
    </w:p>
    <w:p w14:paraId="776D322A">
      <w:pPr>
        <w:widowControl/>
        <w:spacing w:line="360" w:lineRule="auto"/>
        <w:ind w:firstLine="600"/>
        <w:jc w:val="left"/>
        <w:rPr>
          <w:rFonts w:hint="default" w:ascii="宋体" w:hAnsi="宋体" w:eastAsia="宋体" w:cs="仿宋"/>
          <w:i/>
          <w:sz w:val="24"/>
          <w:szCs w:val="24"/>
          <w:lang w:val="en-US" w:eastAsia="zh-CN"/>
        </w:rPr>
      </w:pPr>
      <w:bookmarkStart w:id="9" w:name="_Toc7678"/>
      <w:r>
        <w:rPr>
          <w:rFonts w:hint="eastAsia" w:ascii="宋体" w:hAnsi="宋体" w:cs="仿宋"/>
          <w:sz w:val="24"/>
          <w:szCs w:val="24"/>
          <w:lang w:eastAsia="zh-CN"/>
        </w:rPr>
        <w:t>☑</w:t>
      </w:r>
      <w:r>
        <w:rPr>
          <w:rFonts w:hint="eastAsia" w:ascii="宋体" w:hAnsi="宋体" w:cs="仿宋"/>
          <w:sz w:val="24"/>
          <w:szCs w:val="24"/>
        </w:rPr>
        <w:t>综合评分法</w:t>
      </w:r>
      <w:r>
        <w:rPr>
          <w:rFonts w:hint="eastAsia" w:ascii="宋体" w:hAnsi="宋体" w:cs="仿宋"/>
          <w:sz w:val="24"/>
          <w:szCs w:val="24"/>
          <w:u w:val="single"/>
          <w:lang w:val="en-US" w:eastAsia="zh-CN"/>
        </w:rPr>
        <w:t xml:space="preserve"> 为避免采购到低档次、售后服务无保障的产品 </w:t>
      </w:r>
    </w:p>
    <w:p w14:paraId="56DDA36E">
      <w:pPr>
        <w:widowControl/>
        <w:spacing w:line="360" w:lineRule="auto"/>
        <w:ind w:firstLine="600"/>
        <w:jc w:val="left"/>
        <w:rPr>
          <w:rFonts w:hint="eastAsia" w:ascii="宋体" w:hAnsi="宋体" w:cs="仿宋"/>
          <w:i/>
          <w:sz w:val="24"/>
          <w:szCs w:val="24"/>
          <w:u w:val="single"/>
        </w:rPr>
      </w:pPr>
      <w:r>
        <w:rPr>
          <w:rFonts w:hint="eastAsia" w:ascii="宋体" w:hAnsi="宋体" w:cs="仿宋"/>
          <w:sz w:val="24"/>
          <w:szCs w:val="24"/>
        </w:rPr>
        <w:t>□最低评标价法</w:t>
      </w:r>
    </w:p>
    <w:p w14:paraId="6DDADE0A">
      <w:pPr>
        <w:widowControl/>
        <w:spacing w:line="360" w:lineRule="auto"/>
        <w:ind w:firstLine="600"/>
        <w:jc w:val="left"/>
        <w:rPr>
          <w:rFonts w:hint="eastAsia" w:ascii="宋体" w:hAnsi="宋体" w:cs="仿宋"/>
          <w:color w:val="auto"/>
          <w:sz w:val="24"/>
          <w:szCs w:val="24"/>
        </w:rPr>
      </w:pPr>
      <w:r>
        <w:rPr>
          <w:rFonts w:hint="eastAsia" w:ascii="宋体" w:hAnsi="宋体" w:cs="仿宋"/>
          <w:color w:val="auto"/>
          <w:sz w:val="24"/>
          <w:szCs w:val="24"/>
        </w:rPr>
        <w:t>（</w:t>
      </w:r>
      <w:r>
        <w:rPr>
          <w:rFonts w:hint="eastAsia" w:ascii="宋体" w:hAnsi="宋体" w:cs="仿宋"/>
          <w:color w:val="auto"/>
          <w:sz w:val="24"/>
          <w:szCs w:val="24"/>
          <w:lang w:val="en-US" w:eastAsia="zh-CN"/>
        </w:rPr>
        <w:t>附件1 评审规则</w:t>
      </w:r>
      <w:r>
        <w:rPr>
          <w:rFonts w:hint="eastAsia" w:ascii="宋体" w:hAnsi="宋体" w:cs="仿宋"/>
          <w:color w:val="auto"/>
          <w:sz w:val="24"/>
          <w:szCs w:val="24"/>
        </w:rPr>
        <w:t>）</w:t>
      </w:r>
    </w:p>
    <w:p w14:paraId="3EC43EA6">
      <w:pPr>
        <w:pStyle w:val="4"/>
        <w:spacing w:line="360" w:lineRule="auto"/>
        <w:ind w:firstLine="472" w:firstLineChars="196"/>
        <w:rPr>
          <w:rFonts w:ascii="黑体" w:hAnsi="黑体" w:eastAsia="黑体"/>
          <w:sz w:val="24"/>
          <w:szCs w:val="24"/>
        </w:rPr>
      </w:pPr>
      <w:r>
        <w:rPr>
          <w:rFonts w:hint="eastAsia" w:ascii="黑体" w:hAnsi="黑体" w:eastAsia="黑体"/>
          <w:sz w:val="24"/>
          <w:szCs w:val="24"/>
        </w:rPr>
        <w:t>二、合同管理安排</w:t>
      </w:r>
      <w:bookmarkEnd w:id="9"/>
    </w:p>
    <w:p w14:paraId="19D9DD00">
      <w:pPr>
        <w:pStyle w:val="14"/>
        <w:spacing w:line="360" w:lineRule="auto"/>
        <w:ind w:firstLine="482"/>
        <w:rPr>
          <w:rFonts w:ascii="宋体" w:hAnsi="宋体"/>
          <w:b/>
          <w:bCs/>
          <w:sz w:val="24"/>
          <w:szCs w:val="24"/>
        </w:rPr>
      </w:pPr>
      <w:bookmarkStart w:id="10" w:name="_Toc21661"/>
      <w:r>
        <w:rPr>
          <w:rFonts w:hint="eastAsia" w:ascii="宋体" w:hAnsi="宋体"/>
          <w:b/>
          <w:bCs/>
          <w:sz w:val="24"/>
          <w:szCs w:val="24"/>
        </w:rPr>
        <w:t>（一）合同类型</w:t>
      </w:r>
      <w:bookmarkEnd w:id="10"/>
    </w:p>
    <w:p w14:paraId="342496F5">
      <w:pPr>
        <w:widowControl/>
        <w:spacing w:line="360" w:lineRule="auto"/>
        <w:ind w:firstLine="600"/>
        <w:jc w:val="left"/>
        <w:rPr>
          <w:rFonts w:ascii="宋体" w:hAnsi="宋体" w:cs="仿宋"/>
          <w:sz w:val="24"/>
          <w:szCs w:val="24"/>
        </w:rPr>
      </w:pPr>
      <w:r>
        <w:rPr>
          <w:rFonts w:hint="eastAsia" w:ascii="宋体" w:hAnsi="宋体" w:cs="仿宋"/>
          <w:sz w:val="24"/>
          <w:szCs w:val="24"/>
        </w:rPr>
        <w:t>按照民法典第九章规定的典型合同。</w:t>
      </w:r>
    </w:p>
    <w:p w14:paraId="0D29702E">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ascii="宋体" w:hAnsi="宋体" w:cs="仿宋"/>
          <w:sz w:val="24"/>
          <w:szCs w:val="24"/>
        </w:rPr>
        <w:t>买卖合同</w:t>
      </w:r>
    </w:p>
    <w:p w14:paraId="2F6A6C40">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供用电、水、气、热力合同</w:t>
      </w:r>
    </w:p>
    <w:p w14:paraId="028E08EC">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租赁合同</w:t>
      </w:r>
    </w:p>
    <w:p w14:paraId="68A1D19E">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14:paraId="473591B9">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技术合同</w:t>
      </w:r>
    </w:p>
    <w:p w14:paraId="1F4A2980">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委托合同</w:t>
      </w:r>
    </w:p>
    <w:p w14:paraId="6E56448C">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物业服务合同</w:t>
      </w:r>
    </w:p>
    <w:p w14:paraId="6E0199A5">
      <w:pPr>
        <w:pStyle w:val="14"/>
        <w:spacing w:line="360" w:lineRule="auto"/>
        <w:ind w:firstLine="482"/>
        <w:rPr>
          <w:rFonts w:ascii="宋体" w:hAnsi="宋体"/>
          <w:b/>
          <w:bCs/>
          <w:sz w:val="24"/>
          <w:szCs w:val="24"/>
        </w:rPr>
      </w:pPr>
      <w:bookmarkStart w:id="11" w:name="_Toc30617"/>
      <w:r>
        <w:rPr>
          <w:rFonts w:hint="eastAsia" w:ascii="宋体" w:hAnsi="宋体"/>
          <w:b/>
          <w:bCs/>
          <w:sz w:val="24"/>
          <w:szCs w:val="24"/>
        </w:rPr>
        <w:t>（二）定价方式</w:t>
      </w:r>
      <w:bookmarkEnd w:id="11"/>
    </w:p>
    <w:p w14:paraId="5A8AD241">
      <w:pPr>
        <w:widowControl/>
        <w:spacing w:line="360" w:lineRule="auto"/>
        <w:ind w:firstLine="600"/>
        <w:jc w:val="left"/>
        <w:rPr>
          <w:rFonts w:ascii="宋体" w:hAnsi="宋体" w:cs="仿宋"/>
          <w:sz w:val="24"/>
          <w:szCs w:val="24"/>
        </w:rPr>
      </w:pPr>
      <w:r>
        <w:rPr>
          <w:rFonts w:hint="eastAsia" w:ascii="宋体" w:hAnsi="宋体" w:cs="仿宋"/>
          <w:sz w:val="24"/>
          <w:szCs w:val="24"/>
        </w:rPr>
        <w:t>□固定总价</w:t>
      </w:r>
    </w:p>
    <w:p w14:paraId="6343F2C3">
      <w:pPr>
        <w:widowControl/>
        <w:spacing w:line="360" w:lineRule="auto"/>
        <w:ind w:firstLine="600"/>
        <w:jc w:val="left"/>
        <w:rPr>
          <w:rFonts w:ascii="宋体" w:hAnsi="宋体" w:cs="仿宋"/>
          <w:sz w:val="24"/>
          <w:szCs w:val="24"/>
        </w:rPr>
      </w:pPr>
      <w:r>
        <w:rPr>
          <w:rFonts w:hint="eastAsia" w:ascii="宋体" w:hAnsi="宋体" w:cs="仿宋"/>
          <w:sz w:val="24"/>
          <w:szCs w:val="24"/>
        </w:rPr>
        <w:t>□固定单价</w:t>
      </w:r>
    </w:p>
    <w:p w14:paraId="2EE6D9A4">
      <w:pPr>
        <w:widowControl/>
        <w:spacing w:line="360" w:lineRule="auto"/>
        <w:ind w:firstLine="600"/>
        <w:jc w:val="left"/>
        <w:rPr>
          <w:rFonts w:ascii="宋体" w:hAnsi="宋体" w:cs="仿宋"/>
          <w:sz w:val="24"/>
          <w:szCs w:val="24"/>
        </w:rPr>
      </w:pPr>
      <w:r>
        <w:rPr>
          <w:rFonts w:hint="eastAsia" w:ascii="宋体" w:hAnsi="宋体" w:cs="仿宋"/>
          <w:sz w:val="24"/>
          <w:szCs w:val="24"/>
        </w:rPr>
        <w:t>□成本补偿</w:t>
      </w:r>
    </w:p>
    <w:p w14:paraId="0DFB98C0">
      <w:pPr>
        <w:widowControl/>
        <w:spacing w:line="360" w:lineRule="auto"/>
        <w:ind w:firstLine="600"/>
        <w:jc w:val="left"/>
        <w:rPr>
          <w:rFonts w:ascii="宋体" w:hAnsi="宋体" w:cs="仿宋"/>
          <w:sz w:val="24"/>
          <w:szCs w:val="24"/>
        </w:rPr>
      </w:pPr>
      <w:r>
        <w:rPr>
          <w:rFonts w:hint="eastAsia" w:ascii="宋体" w:hAnsi="宋体" w:cs="仿宋"/>
          <w:sz w:val="24"/>
          <w:szCs w:val="24"/>
        </w:rPr>
        <w:t>□绩效激励</w:t>
      </w:r>
    </w:p>
    <w:p w14:paraId="3D3536FD">
      <w:pPr>
        <w:widowControl/>
        <w:spacing w:line="360" w:lineRule="auto"/>
        <w:ind w:firstLine="600"/>
        <w:jc w:val="left"/>
        <w:rPr>
          <w:rFonts w:ascii="宋体" w:hAnsi="宋体" w:cs="仿宋"/>
          <w:sz w:val="24"/>
          <w:szCs w:val="24"/>
        </w:rPr>
      </w:pPr>
      <w:r>
        <w:rPr>
          <w:rFonts w:hint="eastAsia" w:ascii="宋体" w:hAnsi="宋体" w:cs="仿宋"/>
          <w:sz w:val="24"/>
          <w:szCs w:val="24"/>
        </w:rPr>
        <w:t>□多种方式组合定价</w:t>
      </w:r>
    </w:p>
    <w:p w14:paraId="68BDAF9F">
      <w:pPr>
        <w:pStyle w:val="14"/>
        <w:spacing w:line="360" w:lineRule="auto"/>
        <w:ind w:firstLine="482"/>
        <w:rPr>
          <w:rFonts w:ascii="宋体" w:hAnsi="宋体"/>
          <w:b/>
          <w:bCs/>
          <w:sz w:val="24"/>
          <w:szCs w:val="24"/>
        </w:rPr>
      </w:pPr>
      <w:bookmarkStart w:id="12" w:name="_Toc23433"/>
      <w:r>
        <w:rPr>
          <w:rFonts w:hint="eastAsia" w:ascii="宋体" w:hAnsi="宋体"/>
          <w:b/>
          <w:bCs/>
          <w:sz w:val="24"/>
          <w:szCs w:val="24"/>
        </w:rPr>
        <w:t>（三）合同</w:t>
      </w:r>
      <w:bookmarkEnd w:id="12"/>
      <w:r>
        <w:rPr>
          <w:rFonts w:hint="eastAsia" w:ascii="宋体" w:hAnsi="宋体"/>
          <w:b/>
          <w:bCs/>
          <w:sz w:val="24"/>
          <w:szCs w:val="24"/>
        </w:rPr>
        <w:t>范本</w:t>
      </w:r>
    </w:p>
    <w:p w14:paraId="06FC4F97">
      <w:pPr>
        <w:widowControl/>
        <w:spacing w:line="360" w:lineRule="auto"/>
        <w:ind w:firstLine="600"/>
        <w:jc w:val="left"/>
        <w:rPr>
          <w:rFonts w:ascii="宋体" w:hAnsi="宋体" w:cs="仿宋"/>
          <w:sz w:val="24"/>
          <w:szCs w:val="24"/>
        </w:rPr>
      </w:pPr>
      <w:r>
        <w:rPr>
          <w:rFonts w:hint="eastAsia" w:ascii="宋体" w:hAnsi="宋体" w:cs="仿宋"/>
          <w:sz w:val="24"/>
          <w:szCs w:val="24"/>
        </w:rPr>
        <w:t>□设备(软件)购销合同（内贸）</w:t>
      </w:r>
    </w:p>
    <w:p w14:paraId="071A4807">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家具(实验台)制作安装购销合同</w:t>
      </w:r>
    </w:p>
    <w:p w14:paraId="5815A358">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校医院药品和试剂耗材采购合同</w:t>
      </w:r>
    </w:p>
    <w:p w14:paraId="64FCE320">
      <w:pPr>
        <w:widowControl/>
        <w:spacing w:line="360" w:lineRule="auto"/>
        <w:ind w:firstLine="600"/>
        <w:jc w:val="left"/>
        <w:rPr>
          <w:rFonts w:ascii="宋体" w:hAnsi="宋体" w:cs="仿宋"/>
          <w:sz w:val="24"/>
          <w:szCs w:val="24"/>
        </w:rPr>
      </w:pPr>
      <w:r>
        <w:rPr>
          <w:rFonts w:hint="eastAsia" w:ascii="宋体" w:hAnsi="宋体" w:cs="仿宋"/>
          <w:sz w:val="24"/>
          <w:szCs w:val="24"/>
        </w:rPr>
        <w:t>□进口设备购置</w:t>
      </w:r>
      <w:r>
        <w:rPr>
          <w:rFonts w:ascii="宋体" w:hAnsi="宋体" w:cs="仿宋"/>
          <w:sz w:val="24"/>
          <w:szCs w:val="24"/>
        </w:rPr>
        <w:t>合同</w:t>
      </w:r>
    </w:p>
    <w:p w14:paraId="7E3E7D70">
      <w:pPr>
        <w:widowControl/>
        <w:spacing w:line="360" w:lineRule="auto"/>
        <w:ind w:firstLine="600"/>
        <w:jc w:val="left"/>
        <w:rPr>
          <w:rFonts w:ascii="宋体" w:hAnsi="宋体" w:cs="仿宋"/>
          <w:sz w:val="24"/>
          <w:szCs w:val="24"/>
        </w:rPr>
      </w:pPr>
      <w:r>
        <w:rPr>
          <w:rFonts w:hint="eastAsia" w:ascii="宋体" w:hAnsi="宋体" w:cs="仿宋"/>
          <w:sz w:val="24"/>
          <w:szCs w:val="24"/>
        </w:rPr>
        <w:t>□服务</w:t>
      </w:r>
      <w:r>
        <w:rPr>
          <w:rFonts w:ascii="宋体" w:hAnsi="宋体" w:cs="仿宋"/>
          <w:sz w:val="24"/>
          <w:szCs w:val="24"/>
        </w:rPr>
        <w:t>合同</w:t>
      </w:r>
    </w:p>
    <w:p w14:paraId="66C66947">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14:paraId="5DBDF1A6">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设备采购及</w:t>
      </w:r>
      <w:r>
        <w:rPr>
          <w:rFonts w:ascii="宋体" w:hAnsi="宋体" w:cs="仿宋"/>
          <w:sz w:val="24"/>
          <w:szCs w:val="24"/>
        </w:rPr>
        <w:t>安装合同</w:t>
      </w:r>
    </w:p>
    <w:p w14:paraId="7882F857">
      <w:pPr>
        <w:widowControl/>
        <w:spacing w:line="360" w:lineRule="auto"/>
        <w:ind w:firstLine="600"/>
        <w:jc w:val="left"/>
        <w:rPr>
          <w:rFonts w:ascii="宋体" w:hAnsi="宋体" w:cs="仿宋"/>
          <w:sz w:val="24"/>
          <w:szCs w:val="24"/>
        </w:rPr>
      </w:pPr>
      <w:r>
        <w:rPr>
          <w:rFonts w:hint="eastAsia" w:ascii="宋体" w:hAnsi="宋体" w:cs="仿宋"/>
          <w:sz w:val="24"/>
          <w:szCs w:val="24"/>
        </w:rPr>
        <w:t>□维修改造合同</w:t>
      </w:r>
    </w:p>
    <w:p w14:paraId="076E8286">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信息化建设银校合作项目合同</w:t>
      </w:r>
    </w:p>
    <w:p w14:paraId="3D052DFC">
      <w:pPr>
        <w:pStyle w:val="14"/>
        <w:spacing w:line="360" w:lineRule="auto"/>
        <w:ind w:firstLine="482"/>
        <w:rPr>
          <w:rFonts w:ascii="宋体" w:hAnsi="宋体"/>
          <w:b/>
          <w:bCs/>
          <w:sz w:val="24"/>
          <w:szCs w:val="24"/>
        </w:rPr>
      </w:pPr>
      <w:bookmarkStart w:id="13" w:name="_Toc5882"/>
      <w:r>
        <w:rPr>
          <w:rFonts w:hint="eastAsia" w:ascii="宋体" w:hAnsi="宋体"/>
          <w:b/>
          <w:bCs/>
          <w:sz w:val="24"/>
          <w:szCs w:val="24"/>
        </w:rPr>
        <w:t>（五）风险管控措施</w:t>
      </w:r>
      <w:bookmarkEnd w:id="13"/>
    </w:p>
    <w:p w14:paraId="2ABD6F5D">
      <w:pPr>
        <w:widowControl/>
        <w:spacing w:line="360" w:lineRule="auto"/>
        <w:ind w:firstLine="600"/>
        <w:jc w:val="left"/>
        <w:rPr>
          <w:rFonts w:ascii="宋体" w:hAnsi="宋体" w:cs="仿宋"/>
          <w:sz w:val="24"/>
          <w:szCs w:val="24"/>
        </w:rPr>
      </w:pPr>
      <w:r>
        <w:rPr>
          <w:rFonts w:hint="eastAsia" w:ascii="宋体" w:hAnsi="宋体" w:cs="仿宋"/>
          <w:sz w:val="24"/>
          <w:szCs w:val="24"/>
        </w:rPr>
        <w:t>1.主要风险因素的识别</w:t>
      </w:r>
    </w:p>
    <w:p w14:paraId="727267A4">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w:t>
      </w:r>
    </w:p>
    <w:p w14:paraId="7278B71B">
      <w:pPr>
        <w:widowControl/>
        <w:spacing w:line="360" w:lineRule="auto"/>
        <w:ind w:firstLine="600"/>
        <w:jc w:val="left"/>
        <w:rPr>
          <w:rFonts w:ascii="宋体" w:hAnsi="宋体" w:cs="仿宋"/>
          <w:sz w:val="24"/>
          <w:szCs w:val="24"/>
        </w:rPr>
      </w:pPr>
      <w:bookmarkStart w:id="14" w:name="_Hlk76974208"/>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bookmarkEnd w:id="14"/>
    </w:p>
    <w:p w14:paraId="1BDED62A">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w:t>
      </w:r>
    </w:p>
    <w:p w14:paraId="7E4F3FA9">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7CA1C77F">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w:t>
      </w:r>
    </w:p>
    <w:p w14:paraId="0266D980">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566AC8D8">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w:t>
      </w:r>
    </w:p>
    <w:p w14:paraId="2DECCD67">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0C282144">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w:t>
      </w:r>
    </w:p>
    <w:p w14:paraId="1F0668E3">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48598AB8">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w:t>
      </w:r>
    </w:p>
    <w:p w14:paraId="711A8841">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6AD1B1D1">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（7）损害国家利益和社会公共利益的风险等</w:t>
      </w:r>
    </w:p>
    <w:p w14:paraId="2C9534D1">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67BE3FDF">
      <w:pPr>
        <w:widowControl/>
        <w:spacing w:line="360" w:lineRule="auto"/>
        <w:ind w:firstLine="600"/>
        <w:jc w:val="left"/>
        <w:rPr>
          <w:rFonts w:ascii="宋体" w:hAnsi="宋体" w:cs="仿宋"/>
          <w:sz w:val="24"/>
          <w:szCs w:val="24"/>
        </w:rPr>
      </w:pPr>
      <w:r>
        <w:rPr>
          <w:rFonts w:hint="eastAsia" w:ascii="宋体" w:hAnsi="宋体" w:cs="仿宋"/>
          <w:sz w:val="24"/>
          <w:szCs w:val="24"/>
        </w:rPr>
        <w:t>2.存在风险事项的处置措施（根据风险情况选择）</w:t>
      </w:r>
    </w:p>
    <w:p w14:paraId="60FDBF14">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（1）国家政策变化风险处置措施</w:t>
      </w:r>
    </w:p>
    <w:p w14:paraId="5BF98810">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（2）实施环境变化风险处置措施</w:t>
      </w:r>
    </w:p>
    <w:p w14:paraId="035C4ABB">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（3）重大技术变化风险处置措施</w:t>
      </w:r>
    </w:p>
    <w:p w14:paraId="0F476951">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（4）预算项目调整风险处置措施</w:t>
      </w:r>
    </w:p>
    <w:p w14:paraId="7411A61D">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（5）质疑投诉影响采购进度风险处置措施</w:t>
      </w:r>
    </w:p>
    <w:p w14:paraId="1A3D6007">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（6）采购失败风险、不按规定签订或者履行合同风险处置措施</w:t>
      </w:r>
    </w:p>
    <w:p w14:paraId="479823DA">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（7）损害国家利益和社会公共利益的风险处置措施</w:t>
      </w:r>
    </w:p>
    <w:p w14:paraId="48A13709">
      <w:pPr>
        <w:pStyle w:val="9"/>
        <w:rPr>
          <w:rFonts w:hint="eastAsia" w:ascii="黑体" w:hAnsi="黑体" w:eastAsia="黑体" w:cs="黑体"/>
          <w:sz w:val="21"/>
          <w:szCs w:val="21"/>
          <w:lang w:val="en-US" w:eastAsia="zh-CN"/>
        </w:rPr>
      </w:pPr>
    </w:p>
    <w:p w14:paraId="70ADBDA7">
      <w:pPr>
        <w:pStyle w:val="9"/>
        <w:rPr>
          <w:rFonts w:hint="eastAsia" w:ascii="黑体" w:hAnsi="黑体" w:eastAsia="黑体" w:cs="黑体"/>
          <w:sz w:val="21"/>
          <w:szCs w:val="21"/>
          <w:lang w:val="en-US" w:eastAsia="zh-CN"/>
        </w:rPr>
      </w:pPr>
    </w:p>
    <w:p w14:paraId="054B7448">
      <w:pPr>
        <w:pStyle w:val="9"/>
        <w:rPr>
          <w:rFonts w:hint="eastAsia" w:ascii="黑体" w:hAnsi="黑体" w:eastAsia="黑体" w:cs="黑体"/>
          <w:sz w:val="21"/>
          <w:szCs w:val="21"/>
          <w:lang w:val="en-US" w:eastAsia="zh-CN"/>
        </w:rPr>
      </w:pPr>
    </w:p>
    <w:p w14:paraId="07B1D6C9">
      <w:pPr>
        <w:pStyle w:val="9"/>
        <w:rPr>
          <w:rFonts w:hint="eastAsia" w:ascii="黑体" w:hAnsi="黑体" w:eastAsia="黑体" w:cs="黑体"/>
          <w:sz w:val="21"/>
          <w:szCs w:val="21"/>
          <w:lang w:val="en-US" w:eastAsia="zh-CN"/>
        </w:rPr>
      </w:pPr>
    </w:p>
    <w:p w14:paraId="4A7D13B6">
      <w:pPr>
        <w:pStyle w:val="9"/>
        <w:rPr>
          <w:rFonts w:hint="eastAsia" w:ascii="黑体" w:hAnsi="黑体" w:eastAsia="黑体" w:cs="黑体"/>
          <w:sz w:val="21"/>
          <w:szCs w:val="21"/>
          <w:lang w:val="en-US" w:eastAsia="zh-CN"/>
        </w:rPr>
      </w:pPr>
    </w:p>
    <w:p w14:paraId="0EAD86CC">
      <w:pPr>
        <w:pStyle w:val="9"/>
        <w:rPr>
          <w:rFonts w:hint="eastAsia" w:ascii="黑体" w:hAnsi="黑体" w:eastAsia="黑体" w:cs="黑体"/>
          <w:sz w:val="21"/>
          <w:szCs w:val="21"/>
          <w:lang w:val="en-US" w:eastAsia="zh-CN"/>
        </w:rPr>
      </w:pPr>
    </w:p>
    <w:p w14:paraId="352FD1FA">
      <w:pPr>
        <w:pStyle w:val="9"/>
        <w:rPr>
          <w:rFonts w:hint="eastAsia" w:ascii="黑体" w:hAnsi="黑体" w:eastAsia="黑体" w:cs="黑体"/>
          <w:sz w:val="21"/>
          <w:szCs w:val="21"/>
          <w:lang w:val="en-US" w:eastAsia="zh-CN"/>
        </w:rPr>
      </w:pPr>
    </w:p>
    <w:p w14:paraId="55D088DE">
      <w:pPr>
        <w:pStyle w:val="9"/>
        <w:rPr>
          <w:rFonts w:hint="eastAsia" w:ascii="黑体" w:hAnsi="黑体" w:eastAsia="黑体" w:cs="黑体"/>
          <w:sz w:val="21"/>
          <w:szCs w:val="21"/>
          <w:lang w:val="en-US" w:eastAsia="zh-CN"/>
        </w:rPr>
      </w:pPr>
    </w:p>
    <w:p w14:paraId="466567B7">
      <w:pPr>
        <w:pStyle w:val="9"/>
        <w:rPr>
          <w:rFonts w:hint="eastAsia" w:ascii="黑体" w:hAnsi="黑体" w:eastAsia="黑体" w:cs="黑体"/>
          <w:sz w:val="21"/>
          <w:szCs w:val="21"/>
          <w:lang w:val="en-US" w:eastAsia="zh-CN"/>
        </w:rPr>
      </w:pPr>
    </w:p>
    <w:p w14:paraId="39D96E32">
      <w:pPr>
        <w:pStyle w:val="9"/>
        <w:rPr>
          <w:rFonts w:hint="eastAsia" w:ascii="黑体" w:hAnsi="黑体" w:eastAsia="黑体" w:cs="黑体"/>
          <w:sz w:val="21"/>
          <w:szCs w:val="21"/>
          <w:lang w:val="en-US" w:eastAsia="zh-CN"/>
        </w:rPr>
      </w:pPr>
    </w:p>
    <w:p w14:paraId="52DDAEAD">
      <w:pPr>
        <w:pStyle w:val="9"/>
        <w:rPr>
          <w:rFonts w:hint="eastAsia" w:ascii="黑体" w:hAnsi="黑体" w:eastAsia="黑体" w:cs="黑体"/>
          <w:sz w:val="21"/>
          <w:szCs w:val="21"/>
          <w:lang w:val="en-US" w:eastAsia="zh-CN"/>
        </w:rPr>
      </w:pPr>
    </w:p>
    <w:p w14:paraId="0054589C">
      <w:pPr>
        <w:pStyle w:val="9"/>
        <w:rPr>
          <w:rFonts w:hint="eastAsia" w:ascii="黑体" w:hAnsi="黑体" w:eastAsia="黑体" w:cs="黑体"/>
          <w:sz w:val="21"/>
          <w:szCs w:val="21"/>
          <w:lang w:val="en-US" w:eastAsia="zh-CN"/>
        </w:rPr>
      </w:pPr>
    </w:p>
    <w:p w14:paraId="17173C27">
      <w:pPr>
        <w:pStyle w:val="9"/>
        <w:rPr>
          <w:rFonts w:hint="eastAsia" w:ascii="黑体" w:hAnsi="黑体" w:eastAsia="黑体" w:cs="黑体"/>
          <w:sz w:val="21"/>
          <w:szCs w:val="21"/>
          <w:lang w:val="en-US" w:eastAsia="zh-CN"/>
        </w:rPr>
      </w:pPr>
    </w:p>
    <w:p w14:paraId="0BA8C4A5">
      <w:pPr>
        <w:pStyle w:val="9"/>
        <w:rPr>
          <w:rFonts w:hint="eastAsia" w:ascii="黑体" w:hAnsi="黑体" w:eastAsia="黑体" w:cs="黑体"/>
          <w:sz w:val="21"/>
          <w:szCs w:val="21"/>
          <w:lang w:val="en-US" w:eastAsia="zh-CN"/>
        </w:rPr>
      </w:pPr>
    </w:p>
    <w:p w14:paraId="29738A29">
      <w:pPr>
        <w:pStyle w:val="9"/>
        <w:rPr>
          <w:rFonts w:hint="eastAsia" w:ascii="黑体" w:hAnsi="黑体" w:eastAsia="黑体" w:cs="黑体"/>
          <w:sz w:val="21"/>
          <w:szCs w:val="21"/>
          <w:lang w:val="en-US" w:eastAsia="zh-CN"/>
        </w:rPr>
      </w:pPr>
    </w:p>
    <w:p w14:paraId="6ACE4B7D">
      <w:pPr>
        <w:pStyle w:val="9"/>
        <w:ind w:left="0" w:leftChars="0" w:firstLine="0" w:firstLineChars="0"/>
        <w:rPr>
          <w:rFonts w:hint="eastAsia" w:ascii="黑体" w:hAnsi="黑体" w:eastAsia="黑体" w:cs="黑体"/>
          <w:sz w:val="21"/>
          <w:szCs w:val="21"/>
          <w:lang w:val="en-US" w:eastAsia="zh-CN"/>
        </w:rPr>
      </w:pPr>
    </w:p>
    <w:p w14:paraId="17C66A05">
      <w:pPr>
        <w:pStyle w:val="3"/>
        <w:numPr>
          <w:ilvl w:val="0"/>
          <w:numId w:val="0"/>
        </w:numPr>
        <w:spacing w:before="0" w:after="0" w:line="360" w:lineRule="auto"/>
        <w:ind w:leftChars="0"/>
        <w:rPr>
          <w:rFonts w:hint="eastAsia" w:ascii="宋体" w:hAnsi="宋体" w:eastAsia="宋体" w:cs="Arial"/>
          <w:color w:val="000000"/>
          <w:sz w:val="32"/>
          <w:lang w:val="en-US" w:eastAsia="zh-CN"/>
        </w:rPr>
      </w:pPr>
      <w:r>
        <w:rPr>
          <w:rFonts w:hint="eastAsia" w:ascii="宋体" w:hAnsi="宋体" w:eastAsia="宋体" w:cs="Arial"/>
          <w:color w:val="000000"/>
          <w:sz w:val="32"/>
          <w:lang w:val="en-US" w:eastAsia="zh-CN"/>
        </w:rPr>
        <w:t>附件1                   评审规则</w:t>
      </w:r>
    </w:p>
    <w:p w14:paraId="6CE25DCB">
      <w:pPr>
        <w:pStyle w:val="9"/>
        <w:rPr>
          <w:rFonts w:hint="default"/>
          <w:lang w:val="en-US" w:eastAsia="zh-CN"/>
        </w:rPr>
      </w:pPr>
    </w:p>
    <w:p w14:paraId="4DE46519">
      <w:pPr>
        <w:numPr>
          <w:ilvl w:val="0"/>
          <w:numId w:val="3"/>
        </w:numPr>
        <w:rPr>
          <w:rFonts w:hint="eastAsia"/>
          <w:color w:val="000000"/>
        </w:rPr>
      </w:pPr>
      <w:r>
        <w:rPr>
          <w:rFonts w:hint="eastAsia"/>
          <w:b/>
          <w:color w:val="000000"/>
        </w:rPr>
        <w:t>评标方法</w:t>
      </w:r>
      <w:r>
        <w:rPr>
          <w:rFonts w:hint="eastAsia"/>
          <w:b/>
          <w:bCs/>
          <w:color w:val="000000"/>
        </w:rPr>
        <w:t>：</w:t>
      </w:r>
      <w:r>
        <w:rPr>
          <w:rFonts w:hint="eastAsia"/>
          <w:color w:val="000000"/>
        </w:rPr>
        <w:t xml:space="preserve"> </w:t>
      </w:r>
      <w:r>
        <w:rPr>
          <w:rFonts w:hint="eastAsia"/>
          <w:i w:val="0"/>
          <w:iCs w:val="0"/>
          <w:color w:val="auto"/>
        </w:rPr>
        <w:t>综合评分法。</w:t>
      </w:r>
    </w:p>
    <w:p w14:paraId="3A8EC16E">
      <w:pPr>
        <w:numPr>
          <w:ilvl w:val="0"/>
          <w:numId w:val="3"/>
        </w:numPr>
        <w:rPr>
          <w:rFonts w:hint="eastAsia"/>
          <w:b/>
          <w:bCs/>
          <w:color w:val="000000"/>
        </w:rPr>
      </w:pPr>
      <w:r>
        <w:rPr>
          <w:rFonts w:hint="eastAsia"/>
          <w:b/>
          <w:bCs/>
          <w:color w:val="000000"/>
        </w:rPr>
        <w:t>评标标准</w:t>
      </w:r>
    </w:p>
    <w:p w14:paraId="564BD685">
      <w:pPr>
        <w:numPr>
          <w:ilvl w:val="0"/>
          <w:numId w:val="4"/>
        </w:numPr>
        <w:rPr>
          <w:rFonts w:hint="eastAsia"/>
          <w:i w:val="0"/>
          <w:iCs w:val="0"/>
          <w:color w:val="auto"/>
        </w:rPr>
      </w:pPr>
      <w:r>
        <w:rPr>
          <w:rFonts w:hint="eastAsia"/>
          <w:i w:val="0"/>
          <w:iCs w:val="0"/>
          <w:color w:val="auto"/>
        </w:rPr>
        <w:t>综合评分法，是指投标文件满足招标文件全部实质性要求且按照评审因素的量化指标评审得分最高的供应商为中标候选人。</w:t>
      </w:r>
    </w:p>
    <w:p w14:paraId="32E43124">
      <w:pPr>
        <w:numPr>
          <w:ilvl w:val="0"/>
          <w:numId w:val="4"/>
        </w:numPr>
        <w:rPr>
          <w:rFonts w:hint="eastAsia"/>
          <w:color w:val="000000"/>
        </w:rPr>
      </w:pPr>
      <w:r>
        <w:rPr>
          <w:rFonts w:hint="eastAsia"/>
          <w:color w:val="000000"/>
        </w:rPr>
        <w:t>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151AA244">
      <w:pPr>
        <w:rPr>
          <w:rFonts w:hint="eastAsia"/>
          <w:color w:val="000000"/>
        </w:rPr>
      </w:pPr>
      <w:r>
        <w:rPr>
          <w:rFonts w:hint="eastAsia"/>
          <w:color w:val="000000"/>
        </w:rPr>
        <w:t>（3）各项评审因素的设置如下：</w:t>
      </w:r>
    </w:p>
    <w:p w14:paraId="1F8ECF04">
      <w:pPr>
        <w:rPr>
          <w:rFonts w:hint="eastAsia"/>
          <w:b/>
          <w:bCs/>
          <w:color w:val="000000"/>
        </w:rPr>
      </w:pPr>
      <w:r>
        <w:rPr>
          <w:rFonts w:hint="default"/>
          <w:b/>
          <w:bCs/>
          <w:color w:val="000000"/>
        </w:rPr>
        <w:t>①</w:t>
      </w:r>
      <w:r>
        <w:rPr>
          <w:rFonts w:hint="eastAsia"/>
          <w:b/>
          <w:bCs/>
          <w:color w:val="000000"/>
          <w:lang w:val="en-US" w:eastAsia="zh-CN"/>
        </w:rPr>
        <w:t>价</w:t>
      </w:r>
      <w:r>
        <w:rPr>
          <w:rFonts w:hint="eastAsia"/>
          <w:b/>
          <w:bCs/>
          <w:color w:val="000000"/>
        </w:rPr>
        <w:t>格项（F1×A1）满分为</w:t>
      </w:r>
      <w:r>
        <w:rPr>
          <w:rFonts w:hint="eastAsia"/>
          <w:b/>
          <w:bCs/>
          <w:i w:val="0"/>
          <w:iCs w:val="0"/>
          <w:color w:val="auto"/>
          <w:u w:val="single"/>
          <w:lang w:val="en-US" w:eastAsia="zh-CN"/>
        </w:rPr>
        <w:t>30</w:t>
      </w:r>
      <w:r>
        <w:rPr>
          <w:rFonts w:hint="eastAsia"/>
          <w:b/>
          <w:bCs/>
          <w:color w:val="000000"/>
        </w:rPr>
        <w:t>分。</w:t>
      </w:r>
    </w:p>
    <w:p w14:paraId="08EBB31B">
      <w:pPr>
        <w:rPr>
          <w:rFonts w:hint="eastAsia"/>
          <w:color w:val="000000"/>
        </w:rPr>
      </w:pPr>
      <w:r>
        <w:rPr>
          <w:rFonts w:hint="eastAsia"/>
          <w:color w:val="000000"/>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14:paraId="32D2ED41">
      <w:pPr>
        <w:rPr>
          <w:rFonts w:hint="eastAsia"/>
          <w:color w:val="000000"/>
        </w:rPr>
      </w:pPr>
      <w:r>
        <w:rPr>
          <w:rFonts w:hint="eastAsia"/>
          <w:color w:val="000000"/>
        </w:rPr>
        <w:t>b.价格扣除的规则如下：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6751"/>
      </w:tblGrid>
      <w:tr w14:paraId="66DA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14:paraId="51F551EA">
            <w:pPr>
              <w:rPr>
                <w:color w:val="000000"/>
              </w:rPr>
            </w:pPr>
            <w:r>
              <w:rPr>
                <w:rFonts w:hint="eastAsia"/>
                <w:color w:val="000000"/>
              </w:rPr>
              <w:t>评标项目</w:t>
            </w:r>
          </w:p>
        </w:tc>
        <w:tc>
          <w:tcPr>
            <w:tcW w:w="11514" w:type="dxa"/>
            <w:noWrap w:val="0"/>
            <w:vAlign w:val="top"/>
          </w:tcPr>
          <w:p w14:paraId="2833D69F">
            <w:pPr>
              <w:rPr>
                <w:color w:val="000000"/>
              </w:rPr>
            </w:pPr>
            <w:r>
              <w:rPr>
                <w:rFonts w:hint="eastAsia"/>
                <w:color w:val="000000"/>
              </w:rPr>
              <w:t>评标方法</w:t>
            </w:r>
          </w:p>
        </w:tc>
      </w:tr>
      <w:tr w14:paraId="2EB8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14:paraId="2114714C">
            <w:pPr>
              <w:rPr>
                <w:color w:val="auto"/>
              </w:rPr>
            </w:pPr>
            <w:r>
              <w:rPr>
                <w:rFonts w:hint="eastAsia"/>
                <w:color w:val="auto"/>
              </w:rPr>
              <w:t>小型、微型企业，监狱企业，残疾人</w:t>
            </w:r>
          </w:p>
        </w:tc>
        <w:tc>
          <w:tcPr>
            <w:tcW w:w="11514" w:type="dxa"/>
            <w:noWrap w:val="0"/>
            <w:vAlign w:val="top"/>
          </w:tcPr>
          <w:p w14:paraId="5B70C35B">
            <w:pPr>
              <w:rPr>
                <w:b w:val="0"/>
                <w:bCs w:val="0"/>
                <w:color w:val="auto"/>
              </w:rPr>
            </w:pPr>
            <w:r>
              <w:rPr>
                <w:b/>
                <w:bCs/>
                <w:color w:val="auto"/>
              </w:rPr>
              <w:t>1、对小型、微型企业产品（限货物）的价格给予</w:t>
            </w:r>
            <w:r>
              <w:rPr>
                <w:rFonts w:hint="eastAsia"/>
                <w:b/>
                <w:bCs/>
                <w:i/>
                <w:iCs/>
                <w:color w:val="auto"/>
                <w:lang w:val="en-US" w:eastAsia="zh-CN"/>
              </w:rPr>
              <w:t>10</w:t>
            </w:r>
            <w:r>
              <w:rPr>
                <w:b/>
                <w:bCs/>
                <w:i/>
                <w:iCs/>
                <w:color w:val="auto"/>
              </w:rPr>
              <w:t>%</w:t>
            </w:r>
            <w:r>
              <w:rPr>
                <w:b/>
                <w:bCs/>
                <w:color w:val="auto"/>
              </w:rPr>
              <w:t>的扣除。 2、对监狱企业产品（限货物）的价格给予</w:t>
            </w:r>
            <w:r>
              <w:rPr>
                <w:rFonts w:hint="eastAsia"/>
                <w:b/>
                <w:bCs/>
                <w:i/>
                <w:iCs/>
                <w:color w:val="auto"/>
                <w:u w:val="single"/>
                <w:lang w:val="en-US" w:eastAsia="zh-CN"/>
              </w:rPr>
              <w:t>10</w:t>
            </w:r>
            <w:r>
              <w:rPr>
                <w:b/>
                <w:bCs/>
                <w:i/>
                <w:iCs/>
                <w:color w:val="auto"/>
                <w:u w:val="single"/>
              </w:rPr>
              <w:t>%</w:t>
            </w:r>
            <w:r>
              <w:rPr>
                <w:b/>
                <w:bCs/>
                <w:color w:val="auto"/>
              </w:rPr>
              <w:t>的扣除。 3、残疾人福利性单位提供本单位制造的货物、承担的工程或服务，或提供其他残疾人福利性单位制造的货物（不包括使用非残疾人福利性单位注册商标的货物），对相应货物、工程或服务的价格给予</w:t>
            </w:r>
            <w:r>
              <w:rPr>
                <w:rFonts w:hint="eastAsia"/>
                <w:b/>
                <w:bCs/>
                <w:i/>
                <w:iCs/>
                <w:color w:val="auto"/>
                <w:lang w:val="en-US" w:eastAsia="zh-CN"/>
              </w:rPr>
              <w:t>10</w:t>
            </w:r>
            <w:r>
              <w:rPr>
                <w:b/>
                <w:bCs/>
                <w:i/>
                <w:iCs/>
                <w:color w:val="auto"/>
              </w:rPr>
              <w:t>%</w:t>
            </w:r>
            <w:r>
              <w:rPr>
                <w:b/>
                <w:bCs/>
                <w:color w:val="auto"/>
              </w:rPr>
              <w:t>的扣除</w:t>
            </w:r>
            <w:r>
              <w:rPr>
                <w:rFonts w:hint="eastAsia"/>
                <w:b/>
                <w:bCs/>
                <w:color w:val="auto"/>
                <w:lang w:eastAsia="zh-CN"/>
              </w:rPr>
              <w:t>。</w:t>
            </w:r>
            <w:r>
              <w:rPr>
                <w:rFonts w:hint="eastAsia"/>
                <w:b/>
                <w:bCs/>
                <w:color w:val="auto"/>
                <w:lang w:val="en-US" w:eastAsia="zh-CN"/>
              </w:rPr>
              <w:t>3、对于</w:t>
            </w:r>
            <w:r>
              <w:rPr>
                <w:rFonts w:hint="eastAsia"/>
                <w:b/>
                <w:bCs/>
                <w:color w:val="auto"/>
              </w:rPr>
              <w:t>节能产品、环境标志产品</w:t>
            </w:r>
            <w:r>
              <w:rPr>
                <w:b/>
                <w:bCs/>
                <w:color w:val="auto"/>
              </w:rPr>
              <w:t>的价格给予</w:t>
            </w:r>
            <w:r>
              <w:rPr>
                <w:rFonts w:hint="eastAsia"/>
                <w:b/>
                <w:bCs/>
                <w:i/>
                <w:iCs/>
                <w:color w:val="auto"/>
                <w:lang w:val="en-US" w:eastAsia="zh-CN"/>
              </w:rPr>
              <w:t>10%</w:t>
            </w:r>
            <w:r>
              <w:rPr>
                <w:b/>
                <w:bCs/>
                <w:color w:val="auto"/>
              </w:rPr>
              <w:t>的扣除。</w:t>
            </w:r>
          </w:p>
        </w:tc>
      </w:tr>
    </w:tbl>
    <w:p w14:paraId="099A7016">
      <w:pPr>
        <w:rPr>
          <w:rFonts w:hint="eastAsia"/>
          <w:b/>
          <w:bCs/>
          <w:color w:val="auto"/>
        </w:rPr>
      </w:pPr>
      <w:r>
        <w:rPr>
          <w:rFonts w:hint="eastAsia"/>
          <w:b/>
          <w:bCs/>
          <w:color w:val="auto"/>
        </w:rPr>
        <w:t>②技术项（F2×A2）满分为</w:t>
      </w:r>
      <w:r>
        <w:rPr>
          <w:rFonts w:hint="eastAsia"/>
          <w:b/>
          <w:bCs/>
          <w:color w:val="auto"/>
          <w:u w:val="single"/>
          <w:lang w:val="en-US" w:eastAsia="zh-CN"/>
        </w:rPr>
        <w:t>58</w:t>
      </w:r>
      <w:r>
        <w:rPr>
          <w:rFonts w:hint="eastAsia"/>
          <w:b/>
          <w:bCs/>
          <w:color w:val="auto"/>
        </w:rPr>
        <w:t>分。</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912"/>
        <w:gridCol w:w="5654"/>
      </w:tblGrid>
      <w:tr w14:paraId="5E7E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noWrap w:val="0"/>
            <w:vAlign w:val="top"/>
          </w:tcPr>
          <w:p w14:paraId="72C12B88">
            <w:pPr>
              <w:rPr>
                <w:rFonts w:hint="eastAsia"/>
                <w:color w:val="000000"/>
              </w:rPr>
            </w:pPr>
            <w:r>
              <w:rPr>
                <w:rFonts w:hint="eastAsia"/>
                <w:color w:val="000000"/>
              </w:rPr>
              <w:t>评标项目</w:t>
            </w:r>
          </w:p>
        </w:tc>
        <w:tc>
          <w:tcPr>
            <w:tcW w:w="912" w:type="dxa"/>
            <w:noWrap w:val="0"/>
            <w:vAlign w:val="top"/>
          </w:tcPr>
          <w:p w14:paraId="557C7B67">
            <w:pPr>
              <w:ind w:left="0" w:leftChars="0" w:firstLine="0" w:firstLineChars="0"/>
              <w:rPr>
                <w:rFonts w:hint="eastAsia"/>
                <w:color w:val="000000"/>
              </w:rPr>
            </w:pPr>
            <w:r>
              <w:rPr>
                <w:rFonts w:hint="eastAsia"/>
                <w:color w:val="000000"/>
              </w:rPr>
              <w:t>评标分值</w:t>
            </w:r>
          </w:p>
        </w:tc>
        <w:tc>
          <w:tcPr>
            <w:tcW w:w="5654" w:type="dxa"/>
            <w:noWrap w:val="0"/>
            <w:vAlign w:val="top"/>
          </w:tcPr>
          <w:p w14:paraId="3D2B1DEF">
            <w:pPr>
              <w:rPr>
                <w:rFonts w:hint="eastAsia"/>
                <w:color w:val="000000"/>
              </w:rPr>
            </w:pPr>
            <w:r>
              <w:rPr>
                <w:rFonts w:hint="eastAsia"/>
                <w:color w:val="000000"/>
              </w:rPr>
              <w:t>评标方法描述</w:t>
            </w:r>
          </w:p>
        </w:tc>
      </w:tr>
      <w:tr w14:paraId="3CE8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noWrap w:val="0"/>
            <w:vAlign w:val="top"/>
          </w:tcPr>
          <w:p w14:paraId="6BC3B700">
            <w:pPr>
              <w:rPr>
                <w:rFonts w:hint="default" w:ascii="Times New Roman" w:hAnsi="Times New Roman" w:eastAsia="仿宋_GB2312" w:cs="Times New Roman"/>
                <w:kern w:val="2"/>
                <w:sz w:val="21"/>
                <w:lang w:val="en-US" w:eastAsia="zh-CN" w:bidi="ar-SA"/>
              </w:rPr>
            </w:pPr>
            <w:r>
              <w:rPr>
                <w:rFonts w:hint="eastAsia"/>
              </w:rPr>
              <w:t>1.技术响应</w:t>
            </w:r>
          </w:p>
        </w:tc>
        <w:tc>
          <w:tcPr>
            <w:tcW w:w="912" w:type="dxa"/>
            <w:noWrap w:val="0"/>
            <w:vAlign w:val="center"/>
          </w:tcPr>
          <w:p w14:paraId="1B38B3D1">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52</w:t>
            </w:r>
          </w:p>
        </w:tc>
        <w:tc>
          <w:tcPr>
            <w:tcW w:w="5654" w:type="dxa"/>
            <w:noWrap w:val="0"/>
            <w:vAlign w:val="center"/>
          </w:tcPr>
          <w:p w14:paraId="78EAD549">
            <w:pPr>
              <w:rPr>
                <w:rFonts w:hint="eastAsia" w:ascii="Times New Roman" w:hAnsi="Times New Roman" w:eastAsia="宋体" w:cs="Times New Roman"/>
                <w:lang w:eastAsia="zh-CN"/>
              </w:rPr>
            </w:pPr>
            <w:r>
              <w:rPr>
                <w:rFonts w:hint="eastAsia" w:ascii="Times New Roman" w:hAnsi="Times New Roman" w:eastAsia="宋体" w:cs="Times New Roman"/>
              </w:rPr>
              <w:t>评标委员会将依据投标人所提供的技术参数偏离表，并综合考虑投标人对所投产品的说明以及对招标文件响应情况等方面，参照招标文件中技术参数的要求进行评价：完全满足各项技术参数及要求的得</w:t>
            </w:r>
            <w:r>
              <w:rPr>
                <w:rFonts w:hint="eastAsia" w:ascii="Times New Roman" w:hAnsi="Times New Roman" w:eastAsia="宋体" w:cs="Times New Roman"/>
                <w:lang w:val="en-US" w:eastAsia="zh-CN"/>
              </w:rPr>
              <w:t>52</w:t>
            </w:r>
            <w:r>
              <w:rPr>
                <w:rFonts w:hint="eastAsia" w:ascii="Times New Roman" w:hAnsi="Times New Roman" w:eastAsia="宋体" w:cs="Times New Roman"/>
              </w:rPr>
              <w:t>分</w:t>
            </w:r>
            <w:r>
              <w:rPr>
                <w:rFonts w:hint="eastAsia" w:ascii="Times New Roman" w:hAnsi="Times New Roman" w:eastAsia="宋体" w:cs="Times New Roman"/>
                <w:lang w:eastAsia="zh-CN"/>
              </w:rPr>
              <w:t>；</w:t>
            </w:r>
          </w:p>
          <w:p w14:paraId="2F681FF9">
            <w:pPr>
              <w:rPr>
                <w:rFonts w:hint="eastAsia" w:ascii="Times New Roman" w:hAnsi="Times New Roman" w:eastAsia="宋体" w:cs="Times New Roman"/>
                <w:lang w:val="en-US" w:eastAsia="zh-CN"/>
              </w:rPr>
            </w:pPr>
            <w:r>
              <w:rPr>
                <w:rFonts w:hint="eastAsia" w:ascii="Times New Roman" w:hAnsi="Times New Roman" w:eastAsia="宋体" w:cs="Times New Roman"/>
              </w:rPr>
              <w:t>完全满足各项技术参数及要求的得</w:t>
            </w:r>
            <w:r>
              <w:rPr>
                <w:rFonts w:hint="eastAsia" w:ascii="Times New Roman" w:hAnsi="Times New Roman" w:eastAsia="宋体" w:cs="Times New Roman"/>
                <w:lang w:val="en-US" w:eastAsia="zh-CN"/>
              </w:rPr>
              <w:t>52</w:t>
            </w:r>
            <w:r>
              <w:rPr>
                <w:rFonts w:hint="eastAsia" w:ascii="Times New Roman" w:hAnsi="Times New Roman" w:eastAsia="宋体" w:cs="Times New Roman"/>
              </w:rPr>
              <w:t>分</w:t>
            </w:r>
            <w:r>
              <w:rPr>
                <w:rFonts w:hint="eastAsia" w:ascii="Times New Roman" w:hAnsi="Times New Roman" w:eastAsia="宋体" w:cs="Times New Roman"/>
                <w:lang w:val="en-US" w:eastAsia="zh-CN"/>
              </w:rPr>
              <w:t>,</w:t>
            </w:r>
            <w:r>
              <w:rPr>
                <w:rFonts w:hint="eastAsia" w:ascii="Times New Roman" w:hAnsi="Times New Roman" w:eastAsia="宋体" w:cs="Times New Roman"/>
              </w:rPr>
              <w:t>每负偏离一项扣</w:t>
            </w:r>
            <w:r>
              <w:rPr>
                <w:rFonts w:hint="eastAsia" w:ascii="Times New Roman" w:hAnsi="Times New Roman" w:eastAsia="宋体" w:cs="Times New Roman"/>
                <w:lang w:val="en-US" w:eastAsia="zh-CN"/>
              </w:rPr>
              <w:t>0.37</w:t>
            </w:r>
            <w:r>
              <w:rPr>
                <w:rFonts w:hint="eastAsia" w:ascii="Times New Roman" w:hAnsi="Times New Roman" w:eastAsia="宋体" w:cs="Times New Roman"/>
              </w:rPr>
              <w:t>分</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共141项</w:t>
            </w:r>
            <w:r>
              <w:rPr>
                <w:rFonts w:hint="eastAsia" w:ascii="Times New Roman" w:hAnsi="Times New Roman" w:eastAsia="宋体" w:cs="Times New Roman"/>
                <w:lang w:eastAsia="zh-CN"/>
              </w:rPr>
              <w:t>）。</w:t>
            </w:r>
          </w:p>
        </w:tc>
      </w:tr>
      <w:tr w14:paraId="58D9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noWrap w:val="0"/>
            <w:vAlign w:val="top"/>
          </w:tcPr>
          <w:p w14:paraId="747D5438">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2.产品质量与可靠性</w:t>
            </w:r>
          </w:p>
        </w:tc>
        <w:tc>
          <w:tcPr>
            <w:tcW w:w="912" w:type="dxa"/>
            <w:noWrap w:val="0"/>
            <w:vAlign w:val="top"/>
          </w:tcPr>
          <w:p w14:paraId="3D734C80">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5654" w:type="dxa"/>
            <w:noWrap w:val="0"/>
            <w:vAlign w:val="top"/>
          </w:tcPr>
          <w:p w14:paraId="31B94EB4">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供应商或生产厂家具有经中国国家认证认可监督管理委员会认证机构颁发的有效的下列认证：</w:t>
            </w:r>
          </w:p>
          <w:p w14:paraId="5CF3F810">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质量管理体系认证；</w:t>
            </w:r>
          </w:p>
          <w:p w14:paraId="354CF3B7">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环境管理体系认证；</w:t>
            </w:r>
          </w:p>
          <w:p w14:paraId="1B7CEFE3">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职业健康安全管理体系认证；</w:t>
            </w:r>
          </w:p>
          <w:p w14:paraId="40FC7FC5">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每具有一项得 1分，满分 3分。</w:t>
            </w:r>
          </w:p>
          <w:p w14:paraId="3B96FD1C">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注：响应文件中同时提供证书扫描件以及全国认证认可信息公共服务平台官网证书信息查询截图，未提供或提供不全的不得分。</w:t>
            </w:r>
          </w:p>
        </w:tc>
      </w:tr>
      <w:tr w14:paraId="5286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shd w:val="clear" w:color="auto" w:fill="auto"/>
            <w:noWrap w:val="0"/>
            <w:vAlign w:val="center"/>
          </w:tcPr>
          <w:p w14:paraId="42D8DE9E">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技术</w:t>
            </w:r>
            <w:r>
              <w:rPr>
                <w:rFonts w:hint="eastAsia" w:ascii="Times New Roman" w:hAnsi="Times New Roman" w:eastAsia="宋体" w:cs="Times New Roman"/>
                <w:lang w:val="en-US" w:eastAsia="zh-CN"/>
              </w:rPr>
              <w:t>团队</w:t>
            </w:r>
          </w:p>
        </w:tc>
        <w:tc>
          <w:tcPr>
            <w:tcW w:w="912" w:type="dxa"/>
            <w:shd w:val="clear" w:color="auto" w:fill="auto"/>
            <w:noWrap w:val="0"/>
            <w:vAlign w:val="center"/>
          </w:tcPr>
          <w:p w14:paraId="0341EA31">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5654" w:type="dxa"/>
            <w:shd w:val="clear" w:color="auto" w:fill="auto"/>
            <w:noWrap w:val="0"/>
            <w:vAlign w:val="center"/>
          </w:tcPr>
          <w:p w14:paraId="6D85299E">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供应商技术团队至少有3位具有珠宝首饰相关的国家职业资格/职业技能等级二级及以上等级的证书，每提供1位得1分，最高得3分。</w:t>
            </w:r>
          </w:p>
          <w:p w14:paraId="4FF690B1">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【需提供团队成员证书复印件、供应商与团队成员签订的劳动合同复印件，以及提交首次响应文件截止时间前三个月（不含提交首次响应文件截止时间当月）内任一个月供应商为其缴纳的社保证明材料复印件，</w:t>
            </w:r>
            <w:r>
              <w:rPr>
                <w:rFonts w:hint="eastAsia" w:ascii="Times New Roman" w:hAnsi="Times New Roman" w:eastAsia="宋体" w:cs="Times New Roman"/>
              </w:rPr>
              <w:t>提供不全或不提供不得分</w:t>
            </w:r>
            <w:r>
              <w:rPr>
                <w:rFonts w:hint="eastAsia" w:ascii="Times New Roman" w:hAnsi="Times New Roman" w:eastAsia="宋体" w:cs="Times New Roman"/>
                <w:lang w:val="en-US" w:eastAsia="zh-CN"/>
              </w:rPr>
              <w:t>】。</w:t>
            </w:r>
          </w:p>
        </w:tc>
      </w:tr>
    </w:tbl>
    <w:p w14:paraId="76FD446B">
      <w:pPr>
        <w:rPr>
          <w:rFonts w:hint="eastAsia"/>
          <w:b/>
          <w:bCs/>
          <w:color w:val="000000"/>
        </w:rPr>
      </w:pPr>
      <w:r>
        <w:rPr>
          <w:rFonts w:hint="eastAsia"/>
          <w:b/>
          <w:bCs/>
          <w:color w:val="000000"/>
        </w:rPr>
        <w:t>③商务项（F3×A3）满分为</w:t>
      </w:r>
      <w:r>
        <w:rPr>
          <w:rFonts w:hint="eastAsia"/>
          <w:b/>
          <w:bCs/>
          <w:i w:val="0"/>
          <w:iCs w:val="0"/>
          <w:color w:val="auto"/>
          <w:u w:val="single"/>
          <w:lang w:val="en-US" w:eastAsia="zh-CN"/>
        </w:rPr>
        <w:t>12</w:t>
      </w:r>
      <w:r>
        <w:rPr>
          <w:rFonts w:hint="eastAsia"/>
          <w:b/>
          <w:bCs/>
          <w:color w:val="000000"/>
        </w:rPr>
        <w:t>分。</w:t>
      </w:r>
    </w:p>
    <w:tbl>
      <w:tblPr>
        <w:tblStyle w:val="10"/>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900"/>
        <w:gridCol w:w="5452"/>
      </w:tblGrid>
      <w:tr w14:paraId="08F7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tcPr>
          <w:p w14:paraId="793BE283">
            <w:r>
              <w:rPr>
                <w:rFonts w:hint="eastAsia"/>
              </w:rPr>
              <w:t>评标项目</w:t>
            </w:r>
          </w:p>
        </w:tc>
        <w:tc>
          <w:tcPr>
            <w:tcW w:w="900" w:type="dxa"/>
          </w:tcPr>
          <w:p w14:paraId="75502924">
            <w:r>
              <w:t>评标分值</w:t>
            </w:r>
          </w:p>
        </w:tc>
        <w:tc>
          <w:tcPr>
            <w:tcW w:w="5452" w:type="dxa"/>
          </w:tcPr>
          <w:p w14:paraId="63491BFE">
            <w:r>
              <w:rPr>
                <w:rFonts w:hint="eastAsia"/>
              </w:rPr>
              <w:t>评标方法描述</w:t>
            </w:r>
          </w:p>
        </w:tc>
      </w:tr>
      <w:tr w14:paraId="0269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vAlign w:val="center"/>
          </w:tcPr>
          <w:p w14:paraId="2BC7B6A8">
            <w:r>
              <w:rPr>
                <w:rFonts w:hint="eastAsia"/>
              </w:rPr>
              <w:t>1.业绩情况</w:t>
            </w:r>
          </w:p>
        </w:tc>
        <w:tc>
          <w:tcPr>
            <w:tcW w:w="900" w:type="dxa"/>
            <w:vAlign w:val="center"/>
          </w:tcPr>
          <w:p w14:paraId="0904BCCE">
            <w:r>
              <w:rPr>
                <w:rFonts w:hint="eastAsia"/>
              </w:rPr>
              <w:t>3</w:t>
            </w:r>
          </w:p>
        </w:tc>
        <w:tc>
          <w:tcPr>
            <w:tcW w:w="5452" w:type="dxa"/>
            <w:vAlign w:val="center"/>
          </w:tcPr>
          <w:p w14:paraId="64424E90">
            <w:r>
              <w:rPr>
                <w:rFonts w:hint="eastAsia"/>
              </w:rPr>
              <w:t>根据各投标人提供202</w:t>
            </w:r>
            <w:r>
              <w:rPr>
                <w:rFonts w:hint="eastAsia"/>
                <w:lang w:val="en-US" w:eastAsia="zh-CN"/>
              </w:rPr>
              <w:t>1</w:t>
            </w:r>
            <w:r>
              <w:rPr>
                <w:rFonts w:hint="eastAsia"/>
              </w:rPr>
              <w:t>年1月1日起至本项目投标截止时间止(日期以验收合格时间为准)由投标人所完成同类项目的销售业绩情况，由评委进行评分：提供1份有效业绩的得1分，满分3分。注：投标人须同时提供中标（成交）公告(提供相关网站中标（成交）公告的下载网页并注明网址)、中标（成交）通知书复印件、采购合同文本复印件，以及验收合格报告、发票相关证明文件复印件，未同时提供以上证明材料的本项不得分。</w:t>
            </w:r>
          </w:p>
        </w:tc>
      </w:tr>
      <w:tr w14:paraId="65FA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vMerge w:val="restart"/>
            <w:vAlign w:val="center"/>
          </w:tcPr>
          <w:p w14:paraId="52BD4884">
            <w:r>
              <w:rPr>
                <w:rFonts w:hint="eastAsia"/>
              </w:rPr>
              <w:t>2.售后服务</w:t>
            </w:r>
          </w:p>
        </w:tc>
        <w:tc>
          <w:tcPr>
            <w:tcW w:w="900" w:type="dxa"/>
            <w:vAlign w:val="center"/>
          </w:tcPr>
          <w:p w14:paraId="62BCC996">
            <w:pPr>
              <w:rPr>
                <w:rFonts w:hint="eastAsia" w:eastAsia="宋体"/>
                <w:lang w:eastAsia="zh-CN"/>
              </w:rPr>
            </w:pPr>
            <w:r>
              <w:rPr>
                <w:rFonts w:hint="eastAsia"/>
                <w:lang w:val="en-US" w:eastAsia="zh-CN"/>
              </w:rPr>
              <w:t>2</w:t>
            </w:r>
          </w:p>
        </w:tc>
        <w:tc>
          <w:tcPr>
            <w:tcW w:w="5452" w:type="dxa"/>
            <w:vAlign w:val="center"/>
          </w:tcPr>
          <w:p w14:paraId="375D7012">
            <w:r>
              <w:rPr>
                <w:rFonts w:hint="eastAsia"/>
              </w:rPr>
              <w:t>根据供应商提供的售后服务情况进行评分：售后服务方案条款内容表述详细、针对本项目特点、落实到负责的人员、有详细的联系方式和地址、有具体的响应时间且快速响应的得</w:t>
            </w:r>
            <w:r>
              <w:rPr>
                <w:rFonts w:hint="eastAsia"/>
                <w:lang w:val="en-US" w:eastAsia="zh-CN"/>
              </w:rPr>
              <w:t>2</w:t>
            </w:r>
            <w:r>
              <w:rPr>
                <w:rFonts w:hint="eastAsia"/>
              </w:rPr>
              <w:t>分；售后服务方案条款内容表述相对简略或缺乏针对性、有详细的联系方式和地址，有具体的响应时间、基本能指导本项目实施的得1分。内容不符合本项目或未提供资料的不得分。</w:t>
            </w:r>
          </w:p>
        </w:tc>
      </w:tr>
      <w:tr w14:paraId="1F82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vMerge w:val="continue"/>
            <w:vAlign w:val="center"/>
          </w:tcPr>
          <w:p w14:paraId="23F60E97"/>
        </w:tc>
        <w:tc>
          <w:tcPr>
            <w:tcW w:w="900" w:type="dxa"/>
            <w:vAlign w:val="center"/>
          </w:tcPr>
          <w:p w14:paraId="4985050D">
            <w:r>
              <w:rPr>
                <w:rFonts w:hint="eastAsia"/>
              </w:rPr>
              <w:t>3</w:t>
            </w:r>
          </w:p>
        </w:tc>
        <w:tc>
          <w:tcPr>
            <w:tcW w:w="5452" w:type="dxa"/>
            <w:vAlign w:val="center"/>
          </w:tcPr>
          <w:p w14:paraId="21A32783">
            <w:r>
              <w:rPr>
                <w:rFonts w:hint="eastAsia"/>
              </w:rPr>
              <w:t>根据投标人对所投设备的保修期承诺：招标文件要求的质保期为最低要求，投标人必须满足，在此基础上，每增加一年加1分，满分3分。投标文件中质保期未明确的视同满足招标文件的最低要求，承诺的质保期若不满足招标文件要求，视为未实质性响应招标文件要求，按无效投标处理。</w:t>
            </w:r>
          </w:p>
        </w:tc>
      </w:tr>
      <w:tr w14:paraId="7A94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vMerge w:val="continue"/>
            <w:vAlign w:val="center"/>
          </w:tcPr>
          <w:p w14:paraId="01626A35"/>
        </w:tc>
        <w:tc>
          <w:tcPr>
            <w:tcW w:w="900" w:type="dxa"/>
            <w:vAlign w:val="center"/>
          </w:tcPr>
          <w:p w14:paraId="1DCF0914">
            <w:pPr>
              <w:rPr>
                <w:rFonts w:hint="eastAsia" w:eastAsia="宋体"/>
                <w:lang w:eastAsia="zh-CN"/>
              </w:rPr>
            </w:pPr>
            <w:r>
              <w:rPr>
                <w:rFonts w:hint="eastAsia"/>
                <w:lang w:val="en-US" w:eastAsia="zh-CN"/>
              </w:rPr>
              <w:t>2</w:t>
            </w:r>
          </w:p>
        </w:tc>
        <w:tc>
          <w:tcPr>
            <w:tcW w:w="5452" w:type="dxa"/>
            <w:vAlign w:val="center"/>
          </w:tcPr>
          <w:p w14:paraId="109B24E4">
            <w:r>
              <w:rPr>
                <w:rFonts w:hint="eastAsia"/>
              </w:rPr>
              <w:t>根据投标人提供的质保期后维修服务的项目及费用承诺（须明确各配件的费用及维修费用）进行评分，进行横向对比最优的得</w:t>
            </w:r>
            <w:r>
              <w:rPr>
                <w:rFonts w:hint="eastAsia"/>
                <w:lang w:val="en-US" w:eastAsia="zh-CN"/>
              </w:rPr>
              <w:t>2</w:t>
            </w:r>
            <w:r>
              <w:rPr>
                <w:rFonts w:hint="eastAsia"/>
              </w:rPr>
              <w:t>分，良的得1分，一般的得0分。（未明确各配件的费用及维修费用本项目不得分。）</w:t>
            </w:r>
          </w:p>
        </w:tc>
      </w:tr>
      <w:tr w14:paraId="0C7D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vAlign w:val="center"/>
          </w:tcPr>
          <w:p w14:paraId="70836E8C">
            <w:r>
              <w:rPr>
                <w:rFonts w:hint="eastAsia"/>
              </w:rPr>
              <w:t>3.培训方案</w:t>
            </w:r>
          </w:p>
        </w:tc>
        <w:tc>
          <w:tcPr>
            <w:tcW w:w="900" w:type="dxa"/>
            <w:vAlign w:val="center"/>
          </w:tcPr>
          <w:p w14:paraId="2E0D384E">
            <w:pPr>
              <w:rPr>
                <w:rFonts w:hint="eastAsia" w:eastAsia="宋体"/>
                <w:lang w:eastAsia="zh-CN"/>
              </w:rPr>
            </w:pPr>
            <w:r>
              <w:rPr>
                <w:rFonts w:hint="eastAsia"/>
                <w:lang w:val="en-US" w:eastAsia="zh-CN"/>
              </w:rPr>
              <w:t>2</w:t>
            </w:r>
          </w:p>
        </w:tc>
        <w:tc>
          <w:tcPr>
            <w:tcW w:w="5452" w:type="dxa"/>
            <w:vAlign w:val="center"/>
          </w:tcPr>
          <w:p w14:paraId="4CE2E354">
            <w:r>
              <w:rPr>
                <w:rFonts w:hint="eastAsia"/>
              </w:rPr>
              <w:t>根据投标人的投标文件中对采购人的管理人员、操作人员及维护人员进行培训等方案情况进行评分：方案内容详细、提供技术培训和技术支持的得</w:t>
            </w:r>
            <w:r>
              <w:rPr>
                <w:rFonts w:hint="eastAsia"/>
                <w:lang w:val="en-US" w:eastAsia="zh-CN"/>
              </w:rPr>
              <w:t>2</w:t>
            </w:r>
            <w:r>
              <w:rPr>
                <w:rFonts w:hint="eastAsia"/>
              </w:rPr>
              <w:t>分；方案内容较简略、仅提供使用培训的得1分，未提供任何方案的不得分。</w:t>
            </w:r>
          </w:p>
        </w:tc>
      </w:tr>
    </w:tbl>
    <w:p w14:paraId="697853B7"/>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37597"/>
    <w:multiLevelType w:val="singleLevel"/>
    <w:tmpl w:val="C3137597"/>
    <w:lvl w:ilvl="0" w:tentative="0">
      <w:start w:val="1"/>
      <w:numFmt w:val="chineseCounting"/>
      <w:suff w:val="nothing"/>
      <w:lvlText w:val="%1、"/>
      <w:lvlJc w:val="left"/>
      <w:rPr>
        <w:rFonts w:hint="eastAsia"/>
      </w:rPr>
    </w:lvl>
  </w:abstractNum>
  <w:abstractNum w:abstractNumId="1">
    <w:nsid w:val="F56B1EDC"/>
    <w:multiLevelType w:val="singleLevel"/>
    <w:tmpl w:val="F56B1EDC"/>
    <w:lvl w:ilvl="0" w:tentative="0">
      <w:start w:val="1"/>
      <w:numFmt w:val="decimal"/>
      <w:suff w:val="nothing"/>
      <w:lvlText w:val="（%1）"/>
      <w:lvlJc w:val="left"/>
    </w:lvl>
  </w:abstractNum>
  <w:abstractNum w:abstractNumId="2">
    <w:nsid w:val="0A051CC0"/>
    <w:multiLevelType w:val="multilevel"/>
    <w:tmpl w:val="0A051C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F118B5"/>
    <w:multiLevelType w:val="multilevel"/>
    <w:tmpl w:val="2AF118B5"/>
    <w:lvl w:ilvl="0" w:tentative="0">
      <w:start w:val="1"/>
      <w:numFmt w:val="decimal"/>
      <w:suff w:val="nothing"/>
      <w:lvlText w:val="%1"/>
      <w:lvlJc w:val="center"/>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OWU3MzY3OWY2Y2ZlY2U1MmU4MzYxZThmNWE1YjkifQ=="/>
  </w:docVars>
  <w:rsids>
    <w:rsidRoot w:val="735B222E"/>
    <w:rsid w:val="0D096E50"/>
    <w:rsid w:val="4AF835FF"/>
    <w:rsid w:val="4CC21AE4"/>
    <w:rsid w:val="52CB4A72"/>
    <w:rsid w:val="53A41817"/>
    <w:rsid w:val="59D217EB"/>
    <w:rsid w:val="735B222E"/>
    <w:rsid w:val="7CCFC8D8"/>
    <w:rsid w:val="AFFA4F5A"/>
    <w:rsid w:val="BB7613EF"/>
    <w:rsid w:val="DE3A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cs="Times New Roman"/>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unhideWhenUsed/>
    <w:qFormat/>
    <w:uiPriority w:val="99"/>
    <w:pPr>
      <w:ind w:firstLine="420"/>
    </w:pPr>
  </w:style>
  <w:style w:type="paragraph" w:styleId="7">
    <w:name w:val="annotation text"/>
    <w:basedOn w:val="1"/>
    <w:qFormat/>
    <w:uiPriority w:val="0"/>
    <w:pPr>
      <w:jc w:val="left"/>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2"/>
    <w:qFormat/>
    <w:uiPriority w:val="0"/>
    <w:pPr>
      <w:ind w:firstLine="420" w:firstLineChars="100"/>
    </w:pPr>
    <w:rPr>
      <w:kern w:val="0"/>
      <w:sz w:val="20"/>
      <w:szCs w:val="2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段"/>
    <w:next w:val="1"/>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14">
    <w:name w:val="样式1"/>
    <w:basedOn w:val="1"/>
    <w:qFormat/>
    <w:uiPriority w:val="0"/>
    <w:pPr>
      <w:ind w:firstLine="883" w:firstLineChars="200"/>
    </w:pPr>
    <w:rPr>
      <w:rFonts w:ascii="Calibri" w:hAnsi="Calibri" w:eastAsia="宋体" w:cs="Times New Roman"/>
      <w:sz w:val="30"/>
    </w:rPr>
  </w:style>
  <w:style w:type="paragraph" w:styleId="15">
    <w:name w:val="List Paragraph"/>
    <w:basedOn w:val="1"/>
    <w:qFormat/>
    <w:uiPriority w:val="34"/>
    <w:pPr>
      <w:spacing w:line="360" w:lineRule="auto"/>
      <w:ind w:firstLine="420" w:firstLineChars="200"/>
    </w:pPr>
    <w:rPr>
      <w:rFonts w:ascii="Calibri" w:hAnsi="Calibri" w:eastAsia="仿宋"/>
      <w:sz w:val="30"/>
      <w:szCs w:val="22"/>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8637</Words>
  <Characters>9799</Characters>
  <Lines>0</Lines>
  <Paragraphs>0</Paragraphs>
  <TotalTime>0</TotalTime>
  <ScaleCrop>false</ScaleCrop>
  <LinksUpToDate>false</LinksUpToDate>
  <CharactersWithSpaces>9892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2023-10-08T07:47:00Z</dcterms:created>
  <dc:creator>葱说</dc:creator>
  <cp:lastModifiedBy>忘了我吧__</cp:lastModifiedBy>
  <dcterms:modified xsi:type="dcterms:W3CDTF">2024-09-12T08:28:30Z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1312C75B9DCD18A5B7D7566614E373A6_43</vt:lpwstr>
  </property>
</Properties>
</file>